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68469"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《</w:t>
      </w:r>
      <w:r>
        <w:rPr>
          <w:rFonts w:ascii="黑体" w:hAnsi="黑体" w:eastAsia="黑体"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Cs/>
          <w:sz w:val="32"/>
          <w:szCs w:val="32"/>
        </w:rPr>
        <w:t>艺术设计史</w:t>
      </w:r>
      <w:r>
        <w:rPr>
          <w:rFonts w:ascii="黑体" w:hAnsi="黑体" w:eastAsia="黑体"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Cs/>
          <w:sz w:val="32"/>
          <w:szCs w:val="32"/>
        </w:rPr>
        <w:t>》本科课程教学大纲</w:t>
      </w:r>
    </w:p>
    <w:p w14:paraId="6ECD5700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1F3F16DE"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630D10A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609C107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艺术设计史</w:t>
            </w:r>
          </w:p>
        </w:tc>
      </w:tr>
      <w:tr w14:paraId="58C56DDA"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DB206D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71BC1D85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Art Design History</w:t>
            </w:r>
          </w:p>
        </w:tc>
      </w:tr>
      <w:tr w14:paraId="4EA489D6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68F871F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3042D1E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2040665</w:t>
            </w:r>
          </w:p>
        </w:tc>
        <w:tc>
          <w:tcPr>
            <w:tcW w:w="2126" w:type="dxa"/>
            <w:gridSpan w:val="2"/>
            <w:vAlign w:val="center"/>
          </w:tcPr>
          <w:p w14:paraId="066EC97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6333A096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644B5535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045B68D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D7905F4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2" w:type="dxa"/>
            <w:vAlign w:val="center"/>
          </w:tcPr>
          <w:p w14:paraId="6C855154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18DF9D4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413" w:type="dxa"/>
            <w:gridSpan w:val="2"/>
            <w:vAlign w:val="center"/>
          </w:tcPr>
          <w:p w14:paraId="4EB60CA9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4C369051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00C72B9C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FBEEB0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68D61AD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74D5506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3679FC0C"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数艺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大三</w:t>
            </w:r>
            <w:bookmarkStart w:id="6" w:name="_GoBack"/>
            <w:bookmarkEnd w:id="6"/>
          </w:p>
        </w:tc>
      </w:tr>
      <w:tr w14:paraId="0376D2BC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C2CF26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2B14C90E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  <w:tc>
          <w:tcPr>
            <w:tcW w:w="2126" w:type="dxa"/>
            <w:gridSpan w:val="2"/>
            <w:vAlign w:val="center"/>
          </w:tcPr>
          <w:p w14:paraId="4AAB6BF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2D5A7CE9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4385941B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07F32D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0776978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《世界现代设计史》，王受之著，中国青年出版社 2</w:t>
            </w:r>
            <w:r>
              <w:rPr>
                <w:rFonts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015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年版</w:t>
            </w:r>
          </w:p>
        </w:tc>
        <w:tc>
          <w:tcPr>
            <w:tcW w:w="1413" w:type="dxa"/>
            <w:gridSpan w:val="2"/>
            <w:vAlign w:val="center"/>
          </w:tcPr>
          <w:p w14:paraId="25D25D83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310C358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2ACE32F4"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1C56CF89"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B5B0D8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6F229263">
            <w:pPr>
              <w:pStyle w:val="14"/>
              <w:widowControl w:val="0"/>
              <w:jc w:val="both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2050387视觉艺术导论，2050388二维艺术设计基础，</w:t>
            </w:r>
          </w:p>
        </w:tc>
      </w:tr>
      <w:tr w14:paraId="1C8B1152">
        <w:trPr>
          <w:trHeight w:val="2584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964801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2F9259C8">
            <w:pPr>
              <w:widowControl w:val="0"/>
              <w:adjustRightInd w:val="0"/>
              <w:snapToGrid w:val="0"/>
              <w:spacing w:before="163" w:beforeLines="50" w:after="163" w:afterLines="50" w:line="288" w:lineRule="auto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本课程是艺术设计数字媒体类本科专业，大二学生所开设的基础理论课程，主要研究和概述设计现象、设计基本原理、设计基本规律、现代设计的形成及发展趋势、设计的流派与体系、思维与方法、经营与管理、欣赏与批评等，重在培养学生全面掌握设计的基本理论，树立科学的设计思想，激活想象力和创造力，吸收前人的设计成果，拓展专业知识，扩展艺术思路，理论与实践相结合，提高学生的设计文化修养和设计能力。</w:t>
            </w:r>
          </w:p>
        </w:tc>
      </w:tr>
      <w:tr w14:paraId="4D307D10">
        <w:trPr>
          <w:trHeight w:val="1403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1E242B1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6C95E2F3">
            <w:pPr>
              <w:pStyle w:val="14"/>
              <w:widowControl w:val="0"/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本课程课时数</w:t>
            </w:r>
            <w:r>
              <w:rPr>
                <w:rFonts w:asciiTheme="minorEastAsia" w:hAnsiTheme="minorEastAsia" w:eastAsiaTheme="minorEastAsia"/>
              </w:rPr>
              <w:t>32</w:t>
            </w:r>
            <w:r>
              <w:rPr>
                <w:rFonts w:hint="eastAsia" w:asciiTheme="minorEastAsia" w:hAnsiTheme="minorEastAsia" w:eastAsiaTheme="minorEastAsia"/>
              </w:rPr>
              <w:t>学时，其中理论授课</w:t>
            </w:r>
            <w:r>
              <w:rPr>
                <w:rFonts w:asciiTheme="minorEastAsia" w:hAnsiTheme="minorEastAsia" w:eastAsiaTheme="minorEastAsia"/>
              </w:rPr>
              <w:t>28</w:t>
            </w:r>
            <w:r>
              <w:rPr>
                <w:rFonts w:hint="eastAsia" w:asciiTheme="minorEastAsia" w:hAnsiTheme="minorEastAsia" w:eastAsiaTheme="minorEastAsia"/>
              </w:rPr>
              <w:t>学时，实践课</w:t>
            </w:r>
            <w:r>
              <w:rPr>
                <w:rFonts w:asciiTheme="minorEastAsia" w:hAnsiTheme="minorEastAsia" w:eastAsiaTheme="minorEastAsia"/>
              </w:rPr>
              <w:t>4</w:t>
            </w:r>
            <w:r>
              <w:rPr>
                <w:rFonts w:hint="eastAsia" w:asciiTheme="minorEastAsia" w:hAnsiTheme="minorEastAsia" w:eastAsiaTheme="minorEastAsia"/>
              </w:rPr>
              <w:t>学时，主要采用边理论讲课的方式。本课程适合数字媒体艺术方向的本科学生学习，但本课程涉及设计基础的学习，且要求具有一定美术造型功底，和对物体有基本的审美能力。</w:t>
            </w:r>
          </w:p>
        </w:tc>
      </w:tr>
      <w:tr w14:paraId="3B9F0F24"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583AA12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5C456D45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0" distR="0">
                  <wp:extent cx="615950" cy="615950"/>
                  <wp:effectExtent l="0" t="0" r="6350" b="6350"/>
                  <wp:docPr id="158457811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457811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950" cy="61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37592E28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6EEAAA95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 w14:paraId="0717CE0D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014990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114000FB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760730</wp:posOffset>
                  </wp:positionH>
                  <wp:positionV relativeFrom="paragraph">
                    <wp:posOffset>-7620</wp:posOffset>
                  </wp:positionV>
                  <wp:extent cx="509905" cy="335915"/>
                  <wp:effectExtent l="0" t="0" r="0" b="0"/>
                  <wp:wrapNone/>
                  <wp:docPr id="1939189696" name="图片 19391896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9189696" name="图片 193918969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90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418025EC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434D49DF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 w14:paraId="49288E96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37487AA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729524EA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607060</wp:posOffset>
                  </wp:positionH>
                  <wp:positionV relativeFrom="paragraph">
                    <wp:posOffset>-635</wp:posOffset>
                  </wp:positionV>
                  <wp:extent cx="710565" cy="325755"/>
                  <wp:effectExtent l="0" t="0" r="635" b="4445"/>
                  <wp:wrapNone/>
                  <wp:docPr id="3" name="图片 3" descr="95a58c9610ee54c29ea72c19103a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95a58c9610ee54c29ea72c19103a99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565" cy="32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6F4A3339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0865EC58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</w:tbl>
    <w:p w14:paraId="0E671D4E">
      <w:pPr>
        <w:spacing w:line="100" w:lineRule="exact"/>
        <w:rPr>
          <w:rFonts w:ascii="Arial" w:hAnsi="Arial" w:eastAsia="黑体"/>
        </w:rPr>
      </w:pPr>
      <w:r>
        <w:br w:type="page"/>
      </w:r>
    </w:p>
    <w:p w14:paraId="33F2E72F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4FA1CB46"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8"/>
      </w:tblGrid>
      <w:tr w14:paraId="00BD765B">
        <w:trPr>
          <w:trHeight w:val="454" w:hRule="atLeast"/>
          <w:jc w:val="center"/>
        </w:trPr>
        <w:tc>
          <w:tcPr>
            <w:tcW w:w="1206" w:type="dxa"/>
            <w:vAlign w:val="center"/>
          </w:tcPr>
          <w:p w14:paraId="3187CE91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20C5A2E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6EEC77D1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718409C0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7F72240C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58DDD9E5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51FCFD08">
            <w:pPr>
              <w:pStyle w:val="14"/>
              <w:jc w:val="left"/>
              <w:rPr>
                <w:rFonts w:ascii="宋体" w:hAnsi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Segoe UI" w:hAnsi="Segoe UI" w:cs="Segoe UI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帮助理解艺术与设计的演变过程、背后的文化动因以及它们在不同历史时期的作用与影响。</w:t>
            </w:r>
          </w:p>
        </w:tc>
      </w:tr>
      <w:tr w14:paraId="3C59B1FD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7176EF87">
            <w:pPr>
              <w:pStyle w:val="14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7ACFF3B8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16C5C66B">
            <w:pPr>
              <w:pStyle w:val="14"/>
              <w:jc w:val="left"/>
              <w:rPr>
                <w:rFonts w:ascii="宋体" w:hAnsi="宋体"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了解</w:t>
            </w:r>
            <w:r>
              <w:rPr>
                <w:rFonts w:ascii="Segoe UI" w:hAnsi="Segoe UI" w:cs="Segoe UI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不同时期、地区和文化的艺术作品和设计风格</w:t>
            </w:r>
          </w:p>
        </w:tc>
      </w:tr>
      <w:tr w14:paraId="30B147DF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4FB4ADEE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1816AA3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3CE4CDA0">
            <w:pPr>
              <w:pStyle w:val="14"/>
              <w:jc w:val="left"/>
              <w:rPr>
                <w:rFonts w:ascii="宋体" w:hAnsi="宋体"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Segoe UI" w:hAnsi="Segoe UI" w:cs="Segoe UI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培养分析和评价艺术与设计作品的能力，包括对艺术品和设计风格的理解，以及对创作者意图的解读。</w:t>
            </w:r>
          </w:p>
        </w:tc>
      </w:tr>
      <w:tr w14:paraId="36B25042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1C1EFA33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6B71353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711466A2">
            <w:pPr>
              <w:pStyle w:val="14"/>
              <w:jc w:val="left"/>
              <w:rPr>
                <w:rFonts w:ascii="宋体" w:hAnsi="宋体"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Segoe UI" w:hAnsi="Segoe UI" w:cs="Segoe UI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培养跨文化比较的能力，能够理解不同文化背景下艺术与设计的异同之处，以及它们之间的相互影响。</w:t>
            </w:r>
          </w:p>
        </w:tc>
      </w:tr>
      <w:tr w14:paraId="43AA4C17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0AFC370E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417F1853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3D4EFA2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5AF9FEA1">
            <w:pPr>
              <w:pStyle w:val="14"/>
              <w:jc w:val="left"/>
              <w:rPr>
                <w:rFonts w:ascii="宋体" w:hAnsi="宋体"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专业知识与德育元素自然和谐，明确爱国、诚信、敬业、友爱的精神，建立符合社会主义道德要求的价值观。</w:t>
            </w:r>
          </w:p>
        </w:tc>
      </w:tr>
      <w:tr w14:paraId="4DAD8D23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38BD479D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5071298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2053E60F">
            <w:pPr>
              <w:pStyle w:val="14"/>
              <w:jc w:val="left"/>
              <w:rPr>
                <w:rFonts w:ascii="宋体" w:hAnsi="宋体"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熟悉本专业相关的法律法规，在实习实践中自觉遵守职业规范，具备职业道德操守。</w:t>
            </w:r>
          </w:p>
        </w:tc>
      </w:tr>
    </w:tbl>
    <w:p w14:paraId="089BD5FC"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13DA0CF5">
        <w:tc>
          <w:tcPr>
            <w:tcW w:w="8296" w:type="dxa"/>
          </w:tcPr>
          <w:p w14:paraId="13C1F293">
            <w:pPr>
              <w:pStyle w:val="14"/>
              <w:widowControl w:val="0"/>
              <w:jc w:val="left"/>
              <w:rPr>
                <w:rFonts w:asciiTheme="majorEastAsia" w:hAnsiTheme="majorEastAsia" w:eastAsiaTheme="majorEastAsia"/>
                <w:bCs/>
              </w:rPr>
            </w:pPr>
            <w:r>
              <w:rPr>
                <w:rFonts w:hint="eastAsia" w:asciiTheme="majorEastAsia" w:hAnsiTheme="majorEastAsia" w:eastAsiaTheme="majorEastAsia"/>
                <w:b/>
              </w:rPr>
              <w:t>LO1品德修养</w:t>
            </w:r>
            <w:r>
              <w:rPr>
                <w:rFonts w:hint="eastAsia" w:asciiTheme="majorEastAsia" w:hAnsiTheme="majorEastAsia" w:eastAsiaTheme="majorEastAsia"/>
                <w:bCs/>
              </w:rPr>
              <w:t>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655BF530">
            <w:pPr>
              <w:pStyle w:val="14"/>
              <w:widowControl w:val="0"/>
              <w:jc w:val="left"/>
              <w:rPr>
                <w:rFonts w:asciiTheme="majorEastAsia" w:hAnsiTheme="majorEastAsia" w:eastAsiaTheme="majorEastAsia"/>
                <w:bCs/>
              </w:rPr>
            </w:pPr>
            <w:r>
              <w:rPr>
                <w:rFonts w:hint="eastAsia" w:asciiTheme="majorEastAsia" w:hAnsiTheme="majorEastAsia" w:eastAsiaTheme="majorEastAsia"/>
                <w:bCs/>
              </w:rPr>
              <w:t>⑤</w:t>
            </w:r>
            <w:r>
              <w:rPr>
                <w:rFonts w:asciiTheme="majorEastAsia" w:hAnsiTheme="majorEastAsia" w:eastAsiaTheme="majorEastAsia"/>
                <w:bCs/>
              </w:rPr>
              <w:t>爱岗敬业，热爱所学专业，勤学多练，锤炼技能。熟悉本专业相关的法律法规，在实习实践中自觉遵守职业规范，具备职业道德操守。</w:t>
            </w:r>
          </w:p>
        </w:tc>
      </w:tr>
      <w:tr w14:paraId="644F64E0">
        <w:tc>
          <w:tcPr>
            <w:tcW w:w="8296" w:type="dxa"/>
          </w:tcPr>
          <w:p w14:paraId="3E6C85A2">
            <w:pPr>
              <w:pStyle w:val="14"/>
              <w:widowControl w:val="0"/>
              <w:jc w:val="left"/>
              <w:rPr>
                <w:rFonts w:asciiTheme="majorEastAsia" w:hAnsiTheme="majorEastAsia" w:eastAsiaTheme="majorEastAsia"/>
                <w:bCs/>
              </w:rPr>
            </w:pPr>
            <w:r>
              <w:rPr>
                <w:rFonts w:hint="eastAsia" w:asciiTheme="majorEastAsia" w:hAnsiTheme="majorEastAsia" w:eastAsiaTheme="majorEastAsia"/>
                <w:b/>
              </w:rPr>
              <w:t>LO2专业能力</w:t>
            </w:r>
            <w:r>
              <w:rPr>
                <w:rFonts w:hint="eastAsia" w:cs="Times New Roman" w:asciiTheme="majorEastAsia" w:hAnsiTheme="majorEastAsia" w:eastAsiaTheme="majorEastAsia"/>
              </w:rPr>
              <w:t>：具有人文科学素养，具备从事某项工作或专业的理论知识、实践能力。②具备设计素养与审美能力。掌握基础造型、设计基础、设计原理、美学素养等知识要点。</w:t>
            </w:r>
          </w:p>
        </w:tc>
      </w:tr>
      <w:tr w14:paraId="012308A5">
        <w:tc>
          <w:tcPr>
            <w:tcW w:w="8296" w:type="dxa"/>
          </w:tcPr>
          <w:p w14:paraId="08F14BEA">
            <w:pPr>
              <w:pStyle w:val="14"/>
              <w:widowControl w:val="0"/>
              <w:jc w:val="left"/>
              <w:rPr>
                <w:rFonts w:asciiTheme="majorEastAsia" w:hAnsiTheme="majorEastAsia" w:eastAsiaTheme="majorEastAsia"/>
                <w:bCs/>
              </w:rPr>
            </w:pPr>
            <w:r>
              <w:rPr>
                <w:rFonts w:asciiTheme="majorEastAsia" w:hAnsiTheme="majorEastAsia" w:eastAsiaTheme="majorEastAsia"/>
                <w:b/>
              </w:rPr>
              <w:t>LO4自主学习</w:t>
            </w:r>
            <w:r>
              <w:rPr>
                <w:rFonts w:asciiTheme="majorEastAsia" w:hAnsiTheme="majorEastAsia" w:eastAsiaTheme="majorEastAsia"/>
                <w:bCs/>
              </w:rPr>
              <w:t>：能根据环境需要确定自己的学习目标，并主动地通过搜集信息、分析信息、讨论、实践、质疑、创造等方法来实现学习目标。</w:t>
            </w:r>
          </w:p>
          <w:p w14:paraId="34E2F022">
            <w:pPr>
              <w:pStyle w:val="14"/>
              <w:widowControl w:val="0"/>
              <w:jc w:val="left"/>
              <w:rPr>
                <w:rFonts w:asciiTheme="majorEastAsia" w:hAnsiTheme="majorEastAsia" w:eastAsiaTheme="majorEastAsia"/>
                <w:bCs/>
              </w:rPr>
            </w:pPr>
            <w:r>
              <w:rPr>
                <w:rFonts w:hint="eastAsia" w:asciiTheme="majorEastAsia" w:hAnsiTheme="majorEastAsia" w:eastAsiaTheme="majorEastAsia"/>
                <w:bCs/>
              </w:rPr>
              <w:t>②</w:t>
            </w:r>
            <w:r>
              <w:rPr>
                <w:rFonts w:asciiTheme="majorEastAsia" w:hAnsiTheme="majorEastAsia" w:eastAsiaTheme="majorEastAsia"/>
                <w:bCs/>
              </w:rPr>
              <w:t>能搜集、获取达到目标所需要的学习资源，实施学习计划、反思学习计划、持续改进，达到学习目标。地通过搜集信息、分析信息、讨论、实践、质疑、创造等方法来实现学习目标。</w:t>
            </w:r>
          </w:p>
        </w:tc>
      </w:tr>
    </w:tbl>
    <w:p w14:paraId="6A27BE0A"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323E1193"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84B0D79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0250B94C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6DE14005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color="auto" w:sz="12" w:space="0"/>
            </w:tcBorders>
            <w:vAlign w:val="center"/>
          </w:tcPr>
          <w:p w14:paraId="2D9AEFC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BECB08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58667D92"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94D883D">
            <w:pPr>
              <w:pStyle w:val="14"/>
            </w:pPr>
            <w:r>
              <w:rPr>
                <w:rFonts w:hint="eastAsia"/>
                <w:b/>
              </w:rPr>
              <w:t>LO1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 w14:paraId="4E705B22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⑤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765126D">
            <w:pPr>
              <w:pStyle w:val="14"/>
              <w:rPr>
                <w:rFonts w:ascii="宋体" w:hAnsi="宋体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4651" w:type="dxa"/>
            <w:vMerge w:val="restart"/>
            <w:vAlign w:val="center"/>
          </w:tcPr>
          <w:p w14:paraId="61D5CC33">
            <w:pPr>
              <w:pStyle w:val="14"/>
              <w:rPr>
                <w:rFonts w:asciiTheme="majorEastAsia" w:hAnsiTheme="majorEastAsia" w:eastAsiaTheme="majorEastAsia"/>
                <w:bCs/>
              </w:rPr>
            </w:pPr>
            <w:r>
              <w:rPr>
                <w:rFonts w:cs="Times New Roman" w:asciiTheme="majorEastAsia" w:hAnsiTheme="majorEastAsia" w:eastAsiaTheme="majorEastAsia"/>
              </w:rPr>
              <w:t>5.</w:t>
            </w:r>
            <w:r>
              <w:rPr>
                <w:rFonts w:hint="eastAsia" w:cs="Times New Roman" w:asciiTheme="majorEastAsia" w:hAnsiTheme="majorEastAsia" w:eastAsiaTheme="majorEastAsia"/>
              </w:rPr>
              <w:t>专业知识与德育元素自然和谐，明确爱国、诚信、敬业、友爱的精神，建立符合社会主义道德要求的价值观。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62079831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14:paraId="532748FA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6EEC27D9">
            <w:pPr>
              <w:pStyle w:val="14"/>
              <w:rPr>
                <w:b/>
              </w:rPr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74C1998E">
            <w:pPr>
              <w:pStyle w:val="14"/>
              <w:rPr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22CC1D0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651" w:type="dxa"/>
            <w:vMerge w:val="continue"/>
            <w:vAlign w:val="center"/>
          </w:tcPr>
          <w:p w14:paraId="03C300B6">
            <w:pPr>
              <w:pStyle w:val="14"/>
              <w:rPr>
                <w:rFonts w:asciiTheme="majorEastAsia" w:hAnsiTheme="majorEastAsia" w:eastAsiaTheme="majorEastAsia"/>
                <w:bCs/>
              </w:rPr>
            </w:pP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6AFEFC70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6D99A554"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5C2C345">
            <w:pPr>
              <w:pStyle w:val="14"/>
            </w:pPr>
            <w:r>
              <w:rPr>
                <w:rFonts w:hint="eastAsia"/>
                <w:b/>
              </w:rPr>
              <w:t>LO2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 w14:paraId="4BCA33D0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cs="Times New Roman"/>
              </w:rPr>
              <w:t>②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732953F">
            <w:pPr>
              <w:pStyle w:val="14"/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H</w:t>
            </w:r>
          </w:p>
        </w:tc>
        <w:tc>
          <w:tcPr>
            <w:tcW w:w="4651" w:type="dxa"/>
            <w:vAlign w:val="center"/>
          </w:tcPr>
          <w:p w14:paraId="067AA3D9">
            <w:pPr>
              <w:pStyle w:val="14"/>
              <w:rPr>
                <w:rFonts w:asciiTheme="majorEastAsia" w:hAnsiTheme="majorEastAsia" w:eastAsiaTheme="majorEastAsia"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1.理解艺术设计史历史走向的概念。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29EC698A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2773B891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A686B52">
            <w:pPr>
              <w:pStyle w:val="14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52EA0087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6232FC7">
            <w:pPr>
              <w:pStyle w:val="14"/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51" w:type="dxa"/>
            <w:vAlign w:val="center"/>
          </w:tcPr>
          <w:p w14:paraId="21274B25">
            <w:pPr>
              <w:pStyle w:val="14"/>
              <w:rPr>
                <w:rFonts w:asciiTheme="majorEastAsia" w:hAnsiTheme="majorEastAsia" w:eastAsiaTheme="majorEastAsia"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2.能够掌握艺术设计史的基本知识。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7B7A8CAD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6696D38B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D7C65EC">
            <w:pPr>
              <w:pStyle w:val="14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485EE101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AEACE22">
            <w:pPr>
              <w:pStyle w:val="14"/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651" w:type="dxa"/>
            <w:vAlign w:val="center"/>
          </w:tcPr>
          <w:p w14:paraId="2DC7F9FE">
            <w:pPr>
              <w:pStyle w:val="14"/>
              <w:rPr>
                <w:rFonts w:asciiTheme="majorEastAsia" w:hAnsiTheme="majorEastAsia" w:eastAsiaTheme="majorEastAsia"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3.</w:t>
            </w:r>
            <w:r>
              <w:rPr>
                <w:rFonts w:cs="Segoe UI" w:asciiTheme="majorEastAsia" w:hAnsiTheme="majorEastAsia" w:eastAsiaTheme="maj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cs="Segoe UI" w:asciiTheme="majorEastAsia" w:hAnsiTheme="majorEastAsia" w:eastAsiaTheme="maj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能够</w:t>
            </w:r>
            <w:r>
              <w:rPr>
                <w:rFonts w:cs="Segoe UI" w:asciiTheme="majorEastAsia" w:hAnsiTheme="majorEastAsia" w:eastAsiaTheme="maj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将设计理论应用于实际情境，理解设计作品背后的理论基础，从而更好地理解设计的目的和效果。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 w14:paraId="6BCE5B70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51D5EEC6"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44549119">
            <w:pPr>
              <w:pStyle w:val="14"/>
            </w:pPr>
            <w:r>
              <w:rPr>
                <w:rFonts w:hint="eastAsia"/>
                <w:b/>
              </w:rPr>
              <w:t>LO4</w:t>
            </w:r>
          </w:p>
        </w:tc>
        <w:tc>
          <w:tcPr>
            <w:tcW w:w="77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7B4F4F5C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②</w:t>
            </w:r>
          </w:p>
        </w:tc>
        <w:tc>
          <w:tcPr>
            <w:tcW w:w="775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2CA4701D">
            <w:pPr>
              <w:pStyle w:val="14"/>
              <w:rPr>
                <w:rFonts w:ascii="宋体" w:hAnsi="宋体"/>
              </w:rPr>
            </w:pPr>
            <w:r>
              <w:rPr>
                <w:rFonts w:cs="Times New Roman"/>
              </w:rPr>
              <w:t>L</w:t>
            </w:r>
          </w:p>
        </w:tc>
        <w:tc>
          <w:tcPr>
            <w:tcW w:w="4651" w:type="dxa"/>
            <w:tcBorders>
              <w:bottom w:val="single" w:color="auto" w:sz="12" w:space="0"/>
            </w:tcBorders>
            <w:vAlign w:val="center"/>
          </w:tcPr>
          <w:tbl>
            <w:tblPr>
              <w:tblStyle w:val="7"/>
              <w:tblW w:w="0" w:type="auto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640"/>
            </w:tblGrid>
            <w:tr w14:paraId="230FE7DD">
              <w:tc>
                <w:tcPr>
                  <w:tcW w:w="8640" w:type="dxa"/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14:paraId="46F649EB">
                  <w:pPr>
                    <w:pStyle w:val="23"/>
                    <w:rPr>
                      <w:rFonts w:asciiTheme="majorEastAsia" w:hAnsiTheme="majorEastAsia" w:eastAsiaTheme="majorEastAsia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ajorEastAsia" w:hAnsiTheme="majorEastAsia" w:eastAsiaTheme="majorEastAsia"/>
                      <w:color w:val="000000"/>
                      <w:sz w:val="21"/>
                      <w:szCs w:val="21"/>
                    </w:rPr>
                    <w:t>4.</w:t>
                  </w:r>
                  <w:r>
                    <w:rPr>
                      <w:rFonts w:asciiTheme="majorEastAsia" w:hAnsiTheme="majorEastAsia" w:eastAsiaTheme="majorEastAsia"/>
                      <w:color w:val="000000"/>
                      <w:sz w:val="21"/>
                      <w:szCs w:val="21"/>
                    </w:rPr>
                    <w:t>具备</w:t>
                  </w:r>
                  <w:r>
                    <w:rPr>
                      <w:rFonts w:hint="eastAsia" w:cs="宋体" w:asciiTheme="majorEastAsia" w:hAnsiTheme="majorEastAsia" w:eastAsiaTheme="majorEastAsia"/>
                      <w:bCs/>
                      <w:sz w:val="21"/>
                      <w:szCs w:val="21"/>
                      <w:lang w:eastAsia="zh-Hans"/>
                    </w:rPr>
                    <w:t>获取专业前沿知识、技能的自主学习</w:t>
                  </w:r>
                  <w:r>
                    <w:rPr>
                      <w:rFonts w:hint="eastAsia" w:asciiTheme="majorEastAsia" w:hAnsiTheme="majorEastAsia" w:eastAsiaTheme="majorEastAsia"/>
                      <w:bCs/>
                      <w:sz w:val="21"/>
                      <w:szCs w:val="21"/>
                    </w:rPr>
                    <w:t>能力，</w:t>
                  </w:r>
                  <w:r>
                    <w:rPr>
                      <w:rFonts w:hint="eastAsia" w:cs="宋体" w:asciiTheme="majorEastAsia" w:hAnsiTheme="majorEastAsia" w:eastAsiaTheme="majorEastAsia"/>
                      <w:bCs/>
                      <w:sz w:val="21"/>
                      <w:szCs w:val="21"/>
                    </w:rPr>
                    <w:t>能搜集、获取达</w:t>
                  </w:r>
                </w:p>
                <w:p w14:paraId="717EA86A">
                  <w:pPr>
                    <w:pStyle w:val="23"/>
                    <w:rPr>
                      <w:rFonts w:asciiTheme="majorEastAsia" w:hAnsiTheme="majorEastAsia" w:eastAsiaTheme="maj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cs="宋体" w:asciiTheme="majorEastAsia" w:hAnsiTheme="majorEastAsia" w:eastAsiaTheme="majorEastAsia"/>
                      <w:bCs/>
                      <w:sz w:val="21"/>
                      <w:szCs w:val="21"/>
                    </w:rPr>
                    <w:t>到目标所需要的学习</w:t>
                  </w:r>
                  <w:r>
                    <w:rPr>
                      <w:rFonts w:hint="eastAsia" w:asciiTheme="majorEastAsia" w:hAnsiTheme="majorEastAsia" w:eastAsiaTheme="majorEastAsia"/>
                      <w:bCs/>
                      <w:sz w:val="21"/>
                      <w:szCs w:val="21"/>
                    </w:rPr>
                    <w:t>资源的能力。</w:t>
                  </w:r>
                </w:p>
              </w:tc>
            </w:tr>
          </w:tbl>
          <w:p w14:paraId="7E6D72C1">
            <w:pPr>
              <w:pStyle w:val="14"/>
              <w:rPr>
                <w:rFonts w:asciiTheme="majorEastAsia" w:hAnsiTheme="majorEastAsia" w:eastAsiaTheme="majorEastAsia"/>
                <w:bCs/>
              </w:rPr>
            </w:pPr>
          </w:p>
        </w:tc>
        <w:tc>
          <w:tcPr>
            <w:tcW w:w="131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7D858DD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</w:tbl>
    <w:p w14:paraId="26C79895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3DE4CAB0"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3AD320BA">
        <w:tc>
          <w:tcPr>
            <w:tcW w:w="8296" w:type="dxa"/>
          </w:tcPr>
          <w:p w14:paraId="3DA13A7C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bookmarkStart w:id="0" w:name="OLE_LINK5"/>
            <w:bookmarkStart w:id="1" w:name="OLE_LINK6"/>
            <w:r>
              <w:rPr>
                <w:rFonts w:hint="eastAsia" w:cs="Arial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cs="Arial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cs="Arial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现代设计概述</w:t>
            </w:r>
          </w:p>
          <w:p w14:paraId="26D09F27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工艺美术运动</w:t>
            </w:r>
          </w:p>
          <w:p w14:paraId="54856127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新艺术运动</w:t>
            </w:r>
          </w:p>
          <w:p w14:paraId="615061D4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现代主义的开端</w:t>
            </w:r>
          </w:p>
          <w:p w14:paraId="3C618643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装饰艺术运动</w:t>
            </w:r>
          </w:p>
          <w:p w14:paraId="37A923D2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现代主义的萌起</w:t>
            </w:r>
          </w:p>
          <w:p w14:paraId="3AA82EF1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工业设计的兴起</w:t>
            </w:r>
          </w:p>
          <w:p w14:paraId="495B34F8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中期复习</w:t>
            </w:r>
          </w:p>
          <w:p w14:paraId="2071E8A8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消费时代的设计</w:t>
            </w:r>
          </w:p>
          <w:p w14:paraId="43FEB0B0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后现代主义设计</w:t>
            </w:r>
          </w:p>
          <w:p w14:paraId="05444EEB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工业设计的多元化时期</w:t>
            </w:r>
          </w:p>
          <w:p w14:paraId="5A211B29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现代主义和后现代主义</w:t>
            </w:r>
          </w:p>
          <w:p w14:paraId="71B3A17B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3.</w:t>
            </w:r>
            <w:r>
              <w:rPr>
                <w:rFonts w:hint="eastAsia"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中国现代设计</w:t>
            </w:r>
          </w:p>
          <w:p w14:paraId="2072D0A2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4.</w:t>
            </w:r>
            <w:r>
              <w:rPr>
                <w:rFonts w:hint="eastAsia"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日本设计</w:t>
            </w:r>
          </w:p>
          <w:p w14:paraId="62062DF0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北欧的设计</w:t>
            </w:r>
          </w:p>
          <w:p w14:paraId="66AAA043">
            <w:pPr>
              <w:pStyle w:val="14"/>
              <w:widowControl w:val="0"/>
              <w:jc w:val="left"/>
              <w:rPr>
                <w:rFonts w:ascii="仿宋" w:hAnsi="仿宋" w:eastAsia="仿宋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6.</w:t>
            </w:r>
            <w:r>
              <w:rPr>
                <w:rFonts w:hint="eastAsia"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总结与复习</w:t>
            </w:r>
          </w:p>
        </w:tc>
      </w:tr>
      <w:bookmarkEnd w:id="0"/>
      <w:bookmarkEnd w:id="1"/>
    </w:tbl>
    <w:p w14:paraId="52354DC4"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163"/>
        <w:gridCol w:w="815"/>
        <w:gridCol w:w="1100"/>
        <w:gridCol w:w="1100"/>
        <w:gridCol w:w="1099"/>
        <w:gridCol w:w="1099"/>
        <w:gridCol w:w="1100"/>
      </w:tblGrid>
      <w:tr w14:paraId="6E136B53">
        <w:trPr>
          <w:trHeight w:val="794" w:hRule="atLeast"/>
          <w:jc w:val="center"/>
        </w:trPr>
        <w:tc>
          <w:tcPr>
            <w:tcW w:w="2112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29966259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0AE0367F">
            <w:pPr>
              <w:pStyle w:val="13"/>
              <w:ind w:right="210"/>
              <w:jc w:val="left"/>
              <w:rPr>
                <w:szCs w:val="16"/>
              </w:rPr>
            </w:pPr>
          </w:p>
          <w:p w14:paraId="7E85CCEC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14:paraId="6598841B">
            <w:pPr>
              <w:pStyle w:val="13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 w14:paraId="5609833D">
            <w:pPr>
              <w:pStyle w:val="13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 w14:paraId="23C6C844">
            <w:pPr>
              <w:pStyle w:val="13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 w14:paraId="33156666">
            <w:pPr>
              <w:pStyle w:val="13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 w14:paraId="45C7EE80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10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2158AD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 w14:paraId="219BBA36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2FBDDB88">
            <w:pPr>
              <w:pStyle w:val="14"/>
              <w:jc w:val="left"/>
            </w:pPr>
            <w:r>
              <w:rPr>
                <w:rFonts w:hint="eastAsia" w:cs="Arial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cs="Arial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cs="Arial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现代设计概述</w:t>
            </w:r>
          </w:p>
        </w:tc>
        <w:tc>
          <w:tcPr>
            <w:tcW w:w="796" w:type="dxa"/>
            <w:vAlign w:val="center"/>
          </w:tcPr>
          <w:p w14:paraId="786ED503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37943175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68F1D2A4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20FC507B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5A018960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0800108E">
            <w:pPr>
              <w:pStyle w:val="14"/>
            </w:pPr>
          </w:p>
        </w:tc>
      </w:tr>
      <w:tr w14:paraId="2E9B56BD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6E43803B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工艺美术运动</w:t>
            </w:r>
          </w:p>
        </w:tc>
        <w:tc>
          <w:tcPr>
            <w:tcW w:w="796" w:type="dxa"/>
            <w:vAlign w:val="center"/>
          </w:tcPr>
          <w:p w14:paraId="3833F6F2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0FECAF07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22F64818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74FA59A3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4418E6E9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0A5F4453">
            <w:pPr>
              <w:pStyle w:val="14"/>
            </w:pPr>
          </w:p>
        </w:tc>
      </w:tr>
      <w:tr w14:paraId="03D29C0A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185B5B84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="仿宋" w:hAnsi="仿宋" w:eastAsia="仿宋"/>
                <w:sz w:val="18"/>
                <w:szCs w:val="18"/>
              </w:rPr>
              <w:t xml:space="preserve"> 新艺术运动</w:t>
            </w:r>
          </w:p>
        </w:tc>
        <w:tc>
          <w:tcPr>
            <w:tcW w:w="796" w:type="dxa"/>
            <w:vAlign w:val="center"/>
          </w:tcPr>
          <w:p w14:paraId="4DEA4A96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4804FEF4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5E7FFDC7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172B8B70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6719AEE5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5F5781B3">
            <w:pPr>
              <w:pStyle w:val="14"/>
            </w:pPr>
          </w:p>
        </w:tc>
      </w:tr>
      <w:tr w14:paraId="28D820AA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19691C11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="仿宋" w:hAnsi="仿宋" w:eastAsia="仿宋"/>
                <w:sz w:val="18"/>
                <w:szCs w:val="18"/>
              </w:rPr>
              <w:t xml:space="preserve"> 现代主义的开端</w:t>
            </w:r>
          </w:p>
        </w:tc>
        <w:tc>
          <w:tcPr>
            <w:tcW w:w="796" w:type="dxa"/>
            <w:vAlign w:val="center"/>
          </w:tcPr>
          <w:p w14:paraId="70668606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283089D2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6923F7A8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23E0D4FB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035758B6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48F2E215">
            <w:pPr>
              <w:pStyle w:val="14"/>
            </w:pPr>
          </w:p>
        </w:tc>
      </w:tr>
      <w:tr w14:paraId="79CCECB7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78FE357B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="仿宋" w:hAnsi="仿宋" w:eastAsia="仿宋"/>
                <w:sz w:val="18"/>
                <w:szCs w:val="18"/>
              </w:rPr>
              <w:t xml:space="preserve"> 装饰艺术运动</w:t>
            </w:r>
          </w:p>
        </w:tc>
        <w:tc>
          <w:tcPr>
            <w:tcW w:w="796" w:type="dxa"/>
          </w:tcPr>
          <w:p w14:paraId="4B56B1FC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57F6E597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35D2B1EA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6F003299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75A21A8E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66E1A6E7">
            <w:pPr>
              <w:pStyle w:val="14"/>
            </w:pPr>
          </w:p>
        </w:tc>
      </w:tr>
      <w:tr w14:paraId="21ABC01E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108B198E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="仿宋" w:hAnsi="仿宋" w:eastAsia="仿宋"/>
                <w:sz w:val="18"/>
                <w:szCs w:val="18"/>
              </w:rPr>
              <w:t xml:space="preserve"> 现代主义设计萌起</w:t>
            </w:r>
          </w:p>
        </w:tc>
        <w:tc>
          <w:tcPr>
            <w:tcW w:w="796" w:type="dxa"/>
          </w:tcPr>
          <w:p w14:paraId="436022A5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5A1DE769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48438E52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62B7BE32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3E087F46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6707649D">
            <w:pPr>
              <w:pStyle w:val="14"/>
            </w:pPr>
          </w:p>
        </w:tc>
      </w:tr>
      <w:tr w14:paraId="2B5BBFE3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5134D9B6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="仿宋" w:hAnsi="仿宋" w:eastAsia="仿宋"/>
                <w:sz w:val="18"/>
                <w:szCs w:val="18"/>
              </w:rPr>
              <w:t xml:space="preserve"> 工业设计的兴起</w:t>
            </w:r>
          </w:p>
        </w:tc>
        <w:tc>
          <w:tcPr>
            <w:tcW w:w="796" w:type="dxa"/>
          </w:tcPr>
          <w:p w14:paraId="7390FB3F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1C03A1D1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52638134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4E607D29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66AE5C7E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4A1F3C5E">
            <w:pPr>
              <w:pStyle w:val="14"/>
            </w:pPr>
          </w:p>
        </w:tc>
      </w:tr>
      <w:tr w14:paraId="7CD1178C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40D9D0D2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="仿宋" w:hAnsi="仿宋" w:eastAsia="仿宋"/>
                <w:sz w:val="18"/>
                <w:szCs w:val="18"/>
              </w:rPr>
              <w:t xml:space="preserve"> 中期复习</w:t>
            </w:r>
          </w:p>
        </w:tc>
        <w:tc>
          <w:tcPr>
            <w:tcW w:w="796" w:type="dxa"/>
          </w:tcPr>
          <w:p w14:paraId="7F2CF04A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7A0B30AE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1A576F56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2756EDEA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4CF20246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7B4E1037">
            <w:pPr>
              <w:pStyle w:val="14"/>
            </w:pPr>
          </w:p>
        </w:tc>
      </w:tr>
      <w:tr w14:paraId="529F4D8D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19AA8FC6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</w:t>
            </w:r>
            <w:r>
              <w:rPr>
                <w:rFonts w:hint="eastAsia" w:ascii="仿宋" w:hAnsi="仿宋" w:eastAsia="仿宋"/>
                <w:sz w:val="18"/>
                <w:szCs w:val="18"/>
                <w:shd w:val="clear" w:color="auto" w:fill="FFFFFF"/>
              </w:rPr>
              <w:t xml:space="preserve"> 消费时代的设计</w:t>
            </w:r>
          </w:p>
        </w:tc>
        <w:tc>
          <w:tcPr>
            <w:tcW w:w="796" w:type="dxa"/>
          </w:tcPr>
          <w:p w14:paraId="3F5A6E21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0B3FC19B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27F31414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335602A8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05B0B423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66FB52AB">
            <w:pPr>
              <w:pStyle w:val="14"/>
            </w:pPr>
          </w:p>
        </w:tc>
      </w:tr>
      <w:tr w14:paraId="25AA3696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61F7708D">
            <w:pPr>
              <w:pStyle w:val="14"/>
              <w:jc w:val="left"/>
              <w:rPr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0.</w:t>
            </w:r>
            <w:r>
              <w:rPr>
                <w:rFonts w:hint="eastAsia" w:ascii="仿宋" w:hAnsi="仿宋" w:eastAsia="仿宋"/>
                <w:sz w:val="18"/>
                <w:szCs w:val="18"/>
                <w:shd w:val="clear" w:color="auto" w:fill="FFFFFF"/>
              </w:rPr>
              <w:t xml:space="preserve"> 后现代主义设计</w:t>
            </w:r>
          </w:p>
        </w:tc>
        <w:tc>
          <w:tcPr>
            <w:tcW w:w="796" w:type="dxa"/>
            <w:vAlign w:val="center"/>
          </w:tcPr>
          <w:p w14:paraId="6CA5CD14">
            <w:pPr>
              <w:pStyle w:val="14"/>
            </w:pPr>
          </w:p>
        </w:tc>
        <w:tc>
          <w:tcPr>
            <w:tcW w:w="1074" w:type="dxa"/>
            <w:vAlign w:val="center"/>
          </w:tcPr>
          <w:p w14:paraId="2FB95BC6">
            <w:pPr>
              <w:pStyle w:val="14"/>
            </w:pPr>
          </w:p>
        </w:tc>
        <w:tc>
          <w:tcPr>
            <w:tcW w:w="1074" w:type="dxa"/>
          </w:tcPr>
          <w:p w14:paraId="750276CB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7A944EF7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26A65870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</w:tcPr>
          <w:p w14:paraId="569B7A28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3A594628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65DBED83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1.</w:t>
            </w:r>
            <w:r>
              <w:rPr>
                <w:rFonts w:hint="eastAsia" w:ascii="仿宋" w:hAnsi="仿宋" w:eastAsia="仿宋"/>
                <w:sz w:val="18"/>
                <w:szCs w:val="18"/>
                <w:shd w:val="clear" w:color="auto" w:fill="FFFFFF"/>
              </w:rPr>
              <w:t xml:space="preserve"> 工业设计的多元化时期</w:t>
            </w:r>
          </w:p>
        </w:tc>
        <w:tc>
          <w:tcPr>
            <w:tcW w:w="796" w:type="dxa"/>
          </w:tcPr>
          <w:p w14:paraId="41339D7F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742DF8FC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22B5D24F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3451F6CB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47759845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055F76B2">
            <w:pPr>
              <w:pStyle w:val="14"/>
            </w:pPr>
          </w:p>
        </w:tc>
      </w:tr>
      <w:tr w14:paraId="1C49BD67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1889E5D7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:kern w:val="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</w:t>
            </w:r>
            <w:r>
              <w:rPr>
                <w:rFonts w:hint="eastAsia" w:ascii="仿宋" w:hAnsi="仿宋" w:eastAsia="仿宋"/>
                <w:sz w:val="18"/>
                <w:szCs w:val="18"/>
                <w:shd w:val="clear" w:color="auto" w:fill="FFFFFF"/>
              </w:rPr>
              <w:t xml:space="preserve"> 现代主义和后现代主义</w:t>
            </w:r>
          </w:p>
        </w:tc>
        <w:tc>
          <w:tcPr>
            <w:tcW w:w="796" w:type="dxa"/>
          </w:tcPr>
          <w:p w14:paraId="7D4331DC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15DCAD13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4DE877F6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6A4EEBD6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70BA57EA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37CBB0C8">
            <w:pPr>
              <w:pStyle w:val="14"/>
            </w:pPr>
          </w:p>
        </w:tc>
      </w:tr>
      <w:tr w14:paraId="5F967BF2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7B0613FC">
            <w:pPr>
              <w:pStyle w:val="14"/>
              <w:jc w:val="left"/>
            </w:pPr>
            <w:r>
              <w:rPr>
                <w:rFonts w:hint="eastAsia"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3.</w:t>
            </w:r>
            <w:r>
              <w:rPr>
                <w:rFonts w:hint="eastAsia" w:ascii="仿宋" w:hAnsi="仿宋" w:eastAsia="仿宋"/>
                <w:sz w:val="18"/>
                <w:szCs w:val="18"/>
              </w:rPr>
              <w:t xml:space="preserve"> 中国现代设计</w:t>
            </w:r>
          </w:p>
        </w:tc>
        <w:tc>
          <w:tcPr>
            <w:tcW w:w="796" w:type="dxa"/>
          </w:tcPr>
          <w:p w14:paraId="3339AE1F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46D9B39A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28CBFAB5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345DAA7A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0861D10E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2B9DCB8C">
            <w:pPr>
              <w:pStyle w:val="14"/>
            </w:pPr>
          </w:p>
        </w:tc>
      </w:tr>
      <w:tr w14:paraId="10AC6891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738F2216">
            <w:pPr>
              <w:pStyle w:val="14"/>
              <w:jc w:val="left"/>
            </w:pPr>
            <w:r>
              <w:rPr>
                <w:rFonts w:hint="eastAsia"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4.</w:t>
            </w:r>
            <w:r>
              <w:rPr>
                <w:rFonts w:hint="eastAsia" w:ascii="仿宋" w:hAnsi="仿宋" w:eastAsia="仿宋"/>
                <w:sz w:val="18"/>
                <w:szCs w:val="18"/>
              </w:rPr>
              <w:t xml:space="preserve"> 日本设计</w:t>
            </w:r>
          </w:p>
        </w:tc>
        <w:tc>
          <w:tcPr>
            <w:tcW w:w="796" w:type="dxa"/>
          </w:tcPr>
          <w:p w14:paraId="551B885F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1C4B9163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1A153385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3A6643C4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004296DD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15A25BE7">
            <w:pPr>
              <w:pStyle w:val="14"/>
            </w:pPr>
          </w:p>
        </w:tc>
      </w:tr>
      <w:tr w14:paraId="68E338C7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</w:tcBorders>
          </w:tcPr>
          <w:p w14:paraId="12D13488">
            <w:pPr>
              <w:pStyle w:val="14"/>
              <w:jc w:val="left"/>
            </w:pPr>
            <w:r>
              <w:rPr>
                <w:rFonts w:hint="eastAsia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5.</w:t>
            </w:r>
            <w:r>
              <w:rPr>
                <w:rFonts w:hint="eastAsia" w:ascii="仿宋" w:hAnsi="仿宋" w:eastAsia="仿宋"/>
                <w:sz w:val="18"/>
                <w:szCs w:val="18"/>
              </w:rPr>
              <w:t xml:space="preserve"> 北欧的设计</w:t>
            </w:r>
          </w:p>
        </w:tc>
        <w:tc>
          <w:tcPr>
            <w:tcW w:w="796" w:type="dxa"/>
          </w:tcPr>
          <w:p w14:paraId="7ED90DC9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67F2C3B0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</w:tcPr>
          <w:p w14:paraId="674A37E3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</w:tcPr>
          <w:p w14:paraId="254EF075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606B8F0B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195B9155">
            <w:pPr>
              <w:pStyle w:val="14"/>
            </w:pPr>
          </w:p>
        </w:tc>
      </w:tr>
      <w:tr w14:paraId="37E18453">
        <w:trPr>
          <w:trHeight w:val="340" w:hRule="atLeast"/>
          <w:jc w:val="center"/>
        </w:trPr>
        <w:tc>
          <w:tcPr>
            <w:tcW w:w="2112" w:type="dxa"/>
            <w:tcBorders>
              <w:left w:val="single" w:color="auto" w:sz="12" w:space="0"/>
              <w:bottom w:val="single" w:color="auto" w:sz="12" w:space="0"/>
            </w:tcBorders>
          </w:tcPr>
          <w:p w14:paraId="515DD9DD">
            <w:pPr>
              <w:pStyle w:val="14"/>
              <w:jc w:val="left"/>
            </w:pPr>
            <w:r>
              <w:rPr>
                <w:rFonts w:hint="eastAsia"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6.</w:t>
            </w:r>
            <w:r>
              <w:rPr>
                <w:rFonts w:hint="eastAsia" w:cs="Times New Roman" w:asciiTheme="minorEastAsia" w:hAnsiTheme="minorEastAsia" w:eastAsiaTheme="minor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总结与复习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14:paraId="187BC748">
            <w:pPr>
              <w:pStyle w:val="14"/>
            </w:pP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 w14:paraId="5F98E062">
            <w:pPr>
              <w:pStyle w:val="14"/>
            </w:pPr>
          </w:p>
        </w:tc>
        <w:tc>
          <w:tcPr>
            <w:tcW w:w="1074" w:type="dxa"/>
            <w:tcBorders>
              <w:bottom w:val="single" w:color="auto" w:sz="12" w:space="0"/>
            </w:tcBorders>
          </w:tcPr>
          <w:p w14:paraId="06E4F788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tcBorders>
              <w:bottom w:val="single" w:color="auto" w:sz="12" w:space="0"/>
            </w:tcBorders>
          </w:tcPr>
          <w:p w14:paraId="18F8CD69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tcBorders>
              <w:bottom w:val="single" w:color="auto" w:sz="12" w:space="0"/>
            </w:tcBorders>
            <w:vAlign w:val="center"/>
          </w:tcPr>
          <w:p w14:paraId="1BED070B">
            <w:pPr>
              <w:pStyle w:val="14"/>
            </w:pPr>
          </w:p>
        </w:tc>
        <w:tc>
          <w:tcPr>
            <w:tcW w:w="10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F33F8ED">
            <w:pPr>
              <w:pStyle w:val="14"/>
            </w:pPr>
          </w:p>
        </w:tc>
      </w:tr>
    </w:tbl>
    <w:p w14:paraId="5ABFEF30"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 w14:paraId="20D0CF15">
        <w:trPr>
          <w:trHeight w:val="340" w:hRule="atLeast"/>
          <w:jc w:val="center"/>
        </w:trPr>
        <w:tc>
          <w:tcPr>
            <w:tcW w:w="1828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047EB9E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690" w:type="dxa"/>
            <w:vMerge w:val="restart"/>
            <w:tcBorders>
              <w:top w:val="single" w:color="auto" w:sz="12" w:space="0"/>
            </w:tcBorders>
            <w:vAlign w:val="center"/>
          </w:tcPr>
          <w:p w14:paraId="3226C472"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color="auto" w:sz="12" w:space="0"/>
            </w:tcBorders>
            <w:vAlign w:val="center"/>
          </w:tcPr>
          <w:p w14:paraId="24EA7652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06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44B1E29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4D5131F7">
        <w:trPr>
          <w:trHeight w:val="340" w:hRule="atLeast"/>
          <w:jc w:val="center"/>
        </w:trPr>
        <w:tc>
          <w:tcPr>
            <w:tcW w:w="1828" w:type="dxa"/>
            <w:vMerge w:val="continue"/>
            <w:tcBorders>
              <w:left w:val="single" w:color="auto" w:sz="12" w:space="0"/>
            </w:tcBorders>
          </w:tcPr>
          <w:p w14:paraId="05A5175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 w:val="continue"/>
          </w:tcPr>
          <w:p w14:paraId="297D6615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 w:val="continue"/>
          </w:tcPr>
          <w:p w14:paraId="4B040DCF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AC208AC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10D38E8C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1F103F18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 w14:paraId="561309D8"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3EF6BE0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现代设计的前奏—三大运动</w:t>
            </w:r>
          </w:p>
        </w:tc>
        <w:tc>
          <w:tcPr>
            <w:tcW w:w="2690" w:type="dxa"/>
          </w:tcPr>
          <w:p w14:paraId="1AE5D317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color w:val="000000"/>
                <w:sz w:val="21"/>
                <w:szCs w:val="21"/>
              </w:rPr>
              <w:t>提高</w:t>
            </w:r>
            <w:r>
              <w:rPr>
                <w:rFonts w:asciiTheme="majorEastAsia" w:hAnsiTheme="majorEastAsia" w:eastAsiaTheme="majorEastAsia"/>
                <w:bCs/>
                <w:color w:val="000000"/>
                <w:sz w:val="21"/>
                <w:szCs w:val="21"/>
              </w:rPr>
              <w:t>具备设计素养与审美能力。掌握基础造型、设计基础、设计原理、美学素养等知识要点，提高艺术设计审美能力和创造力。</w:t>
            </w:r>
          </w:p>
        </w:tc>
        <w:tc>
          <w:tcPr>
            <w:tcW w:w="1697" w:type="dxa"/>
            <w:vAlign w:val="center"/>
          </w:tcPr>
          <w:p w14:paraId="1671CBB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7DDFCF1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9</w:t>
            </w:r>
          </w:p>
        </w:tc>
        <w:tc>
          <w:tcPr>
            <w:tcW w:w="653" w:type="dxa"/>
            <w:vAlign w:val="center"/>
          </w:tcPr>
          <w:p w14:paraId="0E18152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CF109D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1</w:t>
            </w:r>
          </w:p>
        </w:tc>
      </w:tr>
      <w:tr w14:paraId="13ACC6F2"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336D78A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工业设计的兴起</w:t>
            </w:r>
          </w:p>
        </w:tc>
        <w:tc>
          <w:tcPr>
            <w:tcW w:w="2690" w:type="dxa"/>
          </w:tcPr>
          <w:p w14:paraId="09BAD965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bCs/>
                <w:color w:val="000000"/>
                <w:sz w:val="21"/>
                <w:szCs w:val="21"/>
              </w:rPr>
              <w:t>具备一定的信息素养，并能在工作</w:t>
            </w:r>
            <w:r>
              <w:rPr>
                <w:rFonts w:hint="eastAsia" w:asciiTheme="majorEastAsia" w:hAnsiTheme="majorEastAsia" w:eastAsiaTheme="majorEastAsia"/>
                <w:bCs/>
                <w:color w:val="000000"/>
                <w:sz w:val="21"/>
                <w:szCs w:val="21"/>
              </w:rPr>
              <w:t>学习</w:t>
            </w:r>
            <w:r>
              <w:rPr>
                <w:rFonts w:asciiTheme="majorEastAsia" w:hAnsiTheme="majorEastAsia" w:eastAsiaTheme="majorEastAsia"/>
                <w:bCs/>
                <w:color w:val="000000"/>
                <w:sz w:val="21"/>
                <w:szCs w:val="21"/>
              </w:rPr>
              <w:t>中应用信息技术解决问题。</w:t>
            </w:r>
          </w:p>
        </w:tc>
        <w:tc>
          <w:tcPr>
            <w:tcW w:w="1697" w:type="dxa"/>
          </w:tcPr>
          <w:p w14:paraId="6456A219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60329DAE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9</w:t>
            </w:r>
          </w:p>
        </w:tc>
        <w:tc>
          <w:tcPr>
            <w:tcW w:w="653" w:type="dxa"/>
            <w:vAlign w:val="center"/>
          </w:tcPr>
          <w:p w14:paraId="10D7F99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88E3C5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1</w:t>
            </w:r>
          </w:p>
        </w:tc>
      </w:tr>
      <w:tr w14:paraId="425114FD"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6658EB6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设计的多元化</w:t>
            </w:r>
          </w:p>
        </w:tc>
        <w:tc>
          <w:tcPr>
            <w:tcW w:w="2690" w:type="dxa"/>
          </w:tcPr>
          <w:p w14:paraId="7C4AF4A7">
            <w:pPr>
              <w:widowControl w:val="0"/>
              <w:snapToGrid w:val="0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bCs/>
                <w:color w:val="000000"/>
                <w:sz w:val="21"/>
                <w:szCs w:val="21"/>
              </w:rPr>
              <w:t>具有基本的</w:t>
            </w:r>
            <w:r>
              <w:rPr>
                <w:rFonts w:hint="eastAsia" w:asciiTheme="majorEastAsia" w:hAnsiTheme="majorEastAsia" w:eastAsiaTheme="majorEastAsia"/>
                <w:bCs/>
                <w:color w:val="000000"/>
                <w:sz w:val="21"/>
                <w:szCs w:val="21"/>
              </w:rPr>
              <w:t>文化</w:t>
            </w:r>
            <w:r>
              <w:rPr>
                <w:rFonts w:asciiTheme="majorEastAsia" w:hAnsiTheme="majorEastAsia" w:eastAsiaTheme="majorEastAsia"/>
                <w:bCs/>
                <w:color w:val="000000"/>
                <w:sz w:val="21"/>
                <w:szCs w:val="21"/>
              </w:rPr>
              <w:t>表达沟通能力与跨文化理解能力，有国际竞争与合作的意识</w:t>
            </w:r>
          </w:p>
        </w:tc>
        <w:tc>
          <w:tcPr>
            <w:tcW w:w="1697" w:type="dxa"/>
          </w:tcPr>
          <w:p w14:paraId="054C380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629893A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8</w:t>
            </w:r>
          </w:p>
        </w:tc>
        <w:tc>
          <w:tcPr>
            <w:tcW w:w="653" w:type="dxa"/>
            <w:vAlign w:val="center"/>
          </w:tcPr>
          <w:p w14:paraId="1264E6D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3F8FEB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0</w:t>
            </w:r>
          </w:p>
        </w:tc>
      </w:tr>
      <w:tr w14:paraId="34816BAC">
        <w:trPr>
          <w:trHeight w:val="454" w:hRule="atLeast"/>
          <w:jc w:val="center"/>
        </w:trPr>
        <w:tc>
          <w:tcPr>
            <w:tcW w:w="621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4994175A">
            <w:pPr>
              <w:pStyle w:val="13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color="auto" w:sz="12" w:space="0"/>
            </w:tcBorders>
            <w:vAlign w:val="center"/>
          </w:tcPr>
          <w:p w14:paraId="1554EAD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tcBorders>
              <w:bottom w:val="single" w:color="auto" w:sz="12" w:space="0"/>
            </w:tcBorders>
            <w:vAlign w:val="center"/>
          </w:tcPr>
          <w:p w14:paraId="75C137E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089986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</w:tr>
    </w:tbl>
    <w:p w14:paraId="7A09098F"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1"/>
        <w:gridCol w:w="862"/>
        <w:gridCol w:w="950"/>
      </w:tblGrid>
      <w:tr w14:paraId="4192B08C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1B77F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9860A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D2522"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7D6A1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05FF757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D78BF7A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344B233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14:paraId="1F110DB3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BD436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8DDEE">
            <w:pPr>
              <w:pStyle w:val="14"/>
            </w:pPr>
            <w:r>
              <w:rPr>
                <w:rFonts w:hint="eastAsia"/>
                <w:bCs/>
              </w:rPr>
              <w:t>现代设计的前奏—三大运动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03DA2">
            <w:pPr>
              <w:pStyle w:val="14"/>
              <w:jc w:val="left"/>
            </w:pPr>
            <w:r>
              <w:rPr>
                <w:rFonts w:ascii="Segoe UI" w:hAnsi="Segoe UI" w:cs="Segoe UI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前奏运动在不同的地区和时期内催生了新的思潮和创新，为现代设计的崛起提供了理论和实践的基础。在这些前奏运动的影响下，现代设计逐渐摆脱了传统的束缚，迎来了更加开创性和实验性的时代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20F38">
            <w:pPr>
              <w:pStyle w:val="14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98E9C5A">
            <w:pPr>
              <w:pStyle w:val="14"/>
            </w:pPr>
            <w:r>
              <w:rPr>
                <w:rFonts w:hint="eastAsia" w:ascii="宋体" w:hAnsi="宋体" w:cstheme="minorEastAsia"/>
              </w:rPr>
              <w:t>综合型</w:t>
            </w:r>
          </w:p>
        </w:tc>
      </w:tr>
      <w:tr w14:paraId="0BBD4F31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7602B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15127">
            <w:pPr>
              <w:pStyle w:val="14"/>
            </w:pPr>
            <w:r>
              <w:rPr>
                <w:rFonts w:hint="eastAsia"/>
                <w:bCs/>
              </w:rPr>
              <w:t>工业设计的兴起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17432">
            <w:pPr>
              <w:pStyle w:val="14"/>
              <w:jc w:val="left"/>
            </w:pPr>
            <w:r>
              <w:rPr>
                <w:rFonts w:ascii="Segoe UI" w:hAnsi="Segoe UI" w:cs="Segoe UI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工业设计的兴起经历了从手工艺到机械生产、从功能主义到美学追求的演变，最终形成了一个综合性的设计理念。它不仅关注产品的外观和使用功能，还关注用户体验、可持续性和社会影响</w:t>
            </w:r>
          </w:p>
        </w:tc>
        <w:tc>
          <w:tcPr>
            <w:tcW w:w="8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ADAE5">
            <w:pPr>
              <w:pStyle w:val="14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9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6CC6EA4">
            <w:pPr>
              <w:pStyle w:val="14"/>
            </w:pPr>
            <w:r>
              <w:rPr>
                <w:rFonts w:hint="eastAsia" w:ascii="宋体" w:hAnsi="宋体" w:cstheme="minorEastAsia"/>
              </w:rPr>
              <w:t>综合型</w:t>
            </w:r>
          </w:p>
        </w:tc>
      </w:tr>
      <w:tr w14:paraId="78790C76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3B475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EEC68">
            <w:pPr>
              <w:pStyle w:val="14"/>
            </w:pPr>
            <w:r>
              <w:rPr>
                <w:rFonts w:hint="eastAsia"/>
                <w:bCs/>
              </w:rPr>
              <w:t>设计的多元化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2D7A">
            <w:pPr>
              <w:pStyle w:val="14"/>
              <w:jc w:val="left"/>
            </w:pPr>
            <w:r>
              <w:rPr>
                <w:rFonts w:ascii="Segoe UI" w:hAnsi="Segoe UI" w:cs="Segoe UI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世界艺术现代史中的多元化设计反映了设计师对不同文化、观念和风格的开放态度。这种多元化设计推动了创新，为设计领域带来了更为丰富和复杂的表达方式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96C38">
            <w:pPr>
              <w:pStyle w:val="14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0195FB2">
            <w:pPr>
              <w:pStyle w:val="14"/>
            </w:pPr>
            <w:r>
              <w:rPr>
                <w:rFonts w:hint="eastAsia" w:ascii="宋体" w:hAnsi="宋体" w:cstheme="minorEastAsia"/>
              </w:rPr>
              <w:t>综合型</w:t>
            </w:r>
          </w:p>
        </w:tc>
      </w:tr>
      <w:tr w14:paraId="1A621397">
        <w:trPr>
          <w:trHeight w:val="454" w:hRule="atLeast"/>
          <w:jc w:val="center"/>
        </w:trPr>
        <w:tc>
          <w:tcPr>
            <w:tcW w:w="8276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27D6B"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4A6079A1"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1"/>
      <w:bookmarkStart w:id="3" w:name="OLE_LINK2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25E923BC">
        <w:trPr>
          <w:trHeight w:val="1128" w:hRule="atLeast"/>
        </w:trPr>
        <w:tc>
          <w:tcPr>
            <w:tcW w:w="8276" w:type="dxa"/>
            <w:vAlign w:val="center"/>
          </w:tcPr>
          <w:p w14:paraId="15F6EE9B">
            <w:pPr>
              <w:pStyle w:val="14"/>
              <w:widowControl w:val="0"/>
              <w:ind w:firstLine="420" w:firstLineChars="200"/>
              <w:jc w:val="left"/>
              <w:rPr>
                <w:bCs/>
              </w:rPr>
            </w:pPr>
            <w:r>
              <w:rPr>
                <w:rFonts w:hint="eastAsia" w:cs="Times New Roman"/>
              </w:rPr>
              <w:t>专业知识与德育元素自然和谐，明确爱国、诚信、敬业、友爱的精神，建立符合社会主义道德要求的价值观。</w:t>
            </w:r>
            <w:r>
              <w:rPr>
                <w:bCs/>
              </w:rPr>
              <w:t>熟悉本专业相关的法律法规，在实习实践中自觉遵守职业规范，具备职业道德操守。</w:t>
            </w:r>
          </w:p>
          <w:p w14:paraId="5A1D022B">
            <w:pPr>
              <w:pStyle w:val="14"/>
              <w:widowControl w:val="0"/>
              <w:ind w:firstLine="420" w:firstLineChars="200"/>
              <w:jc w:val="left"/>
            </w:pPr>
            <w:r>
              <w:rPr>
                <w:rFonts w:hint="eastAsia"/>
                <w:bCs/>
              </w:rPr>
              <w:t>具体讲授过程：首先，专业知识必须进行深入浅出的讲解，注意与学生实时互动，营造课堂氛围; 然后，结合知识点将具有共性的思政点融入。融入的方式要做到启承婉转、巧妙自然; 融入效果要做到潜移默化、润物无声; 之后，再次引入</w:t>
            </w:r>
            <w:r>
              <w:rPr>
                <w:bCs/>
              </w:rPr>
              <w:t>自觉遵守职业规范，具备职业道德操守</w:t>
            </w:r>
            <w:r>
              <w:rPr>
                <w:rFonts w:hint="eastAsia"/>
                <w:bCs/>
              </w:rPr>
              <w:t>等内容，通过互动讨论对学生进行价值引导，最后回归教学目标，将思政素养落实到学生的行动中。</w:t>
            </w:r>
          </w:p>
        </w:tc>
      </w:tr>
    </w:tbl>
    <w:p w14:paraId="13F3A459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3"/>
      <w:bookmarkStart w:id="5" w:name="OLE_LINK4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14:paraId="4D296EA1"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307AA7A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08240BA6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4DFC742A"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4D04D342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082F720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4AA26404"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2CEA6531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3738C857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72218CF5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5B0A7718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3B87B02E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5F7EB418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1ACFDF54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33B74E7E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14:paraId="186A8CA5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62E91C4C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3EFB04E4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498606A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14:paraId="35BA31A6">
            <w:pPr>
              <w:pStyle w:val="14"/>
              <w:widowControl w:val="0"/>
            </w:pPr>
            <w:r>
              <w:rPr>
                <w:rFonts w:hint="eastAsia"/>
              </w:rPr>
              <w:t>4</w:t>
            </w:r>
            <w:r>
              <w:t>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302F7EF4">
            <w:pPr>
              <w:pStyle w:val="14"/>
              <w:widowControl w:val="0"/>
            </w:pPr>
            <w:r>
              <w:rPr>
                <w:rFonts w:hint="eastAsia"/>
              </w:rPr>
              <w:t>考试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24F71567">
            <w:pPr>
              <w:pStyle w:val="14"/>
              <w:widowControl w:val="0"/>
            </w:pPr>
            <w:r>
              <w:rPr>
                <w:rFonts w:hint="eastAsia"/>
              </w:rPr>
              <w:t>40</w:t>
            </w:r>
          </w:p>
        </w:tc>
        <w:tc>
          <w:tcPr>
            <w:tcW w:w="612" w:type="dxa"/>
            <w:vAlign w:val="center"/>
          </w:tcPr>
          <w:p w14:paraId="4EBA91CC">
            <w:pPr>
              <w:pStyle w:val="14"/>
              <w:widowControl w:val="0"/>
            </w:pPr>
            <w:r>
              <w:rPr>
                <w:rFonts w:hint="eastAsia"/>
              </w:rPr>
              <w:t>50</w:t>
            </w:r>
          </w:p>
        </w:tc>
        <w:tc>
          <w:tcPr>
            <w:tcW w:w="612" w:type="dxa"/>
            <w:vAlign w:val="center"/>
          </w:tcPr>
          <w:p w14:paraId="7AC21C0D">
            <w:pPr>
              <w:pStyle w:val="14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 w14:paraId="430F863F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459DE9AA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561A033C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36D4C299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5DFAB409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3EF76E7A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35561B62">
            <w:pPr>
              <w:pStyle w:val="14"/>
              <w:widowControl w:val="0"/>
            </w:pPr>
            <w:r>
              <w:t>30%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36A92CAE">
            <w:pPr>
              <w:pStyle w:val="14"/>
              <w:widowControl w:val="0"/>
            </w:pPr>
            <w:r>
              <w:rPr>
                <w:rFonts w:hint="eastAsia"/>
              </w:rPr>
              <w:t>分析报告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3E63E94F">
            <w:pPr>
              <w:pStyle w:val="14"/>
              <w:widowControl w:val="0"/>
            </w:pPr>
            <w:r>
              <w:t>40</w:t>
            </w:r>
          </w:p>
        </w:tc>
        <w:tc>
          <w:tcPr>
            <w:tcW w:w="612" w:type="dxa"/>
            <w:vAlign w:val="center"/>
          </w:tcPr>
          <w:p w14:paraId="2833F605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612" w:type="dxa"/>
            <w:vAlign w:val="center"/>
          </w:tcPr>
          <w:p w14:paraId="3C7BBD66">
            <w:pPr>
              <w:pStyle w:val="14"/>
              <w:widowControl w:val="0"/>
            </w:pPr>
            <w:r>
              <w:t>30</w:t>
            </w:r>
          </w:p>
        </w:tc>
        <w:tc>
          <w:tcPr>
            <w:tcW w:w="612" w:type="dxa"/>
            <w:vAlign w:val="center"/>
          </w:tcPr>
          <w:p w14:paraId="43654901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1FAE935E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07583520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6510DDF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32DA11EB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5D9ABF0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3AA5FAE4">
            <w:pPr>
              <w:pStyle w:val="14"/>
              <w:widowControl w:val="0"/>
            </w:pPr>
            <w:r>
              <w:t>30%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60E4A998">
            <w:pPr>
              <w:pStyle w:val="14"/>
              <w:widowControl w:val="0"/>
            </w:pPr>
            <w:r>
              <w:rPr>
                <w:rFonts w:hint="eastAsia"/>
              </w:rPr>
              <w:t>心得体会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350F1107">
            <w:pPr>
              <w:pStyle w:val="14"/>
              <w:widowControl w:val="0"/>
            </w:pPr>
            <w:r>
              <w:t>40</w:t>
            </w:r>
          </w:p>
        </w:tc>
        <w:tc>
          <w:tcPr>
            <w:tcW w:w="612" w:type="dxa"/>
            <w:vAlign w:val="center"/>
          </w:tcPr>
          <w:p w14:paraId="69878D1A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612" w:type="dxa"/>
            <w:vAlign w:val="center"/>
          </w:tcPr>
          <w:p w14:paraId="7907A5AF">
            <w:pPr>
              <w:pStyle w:val="14"/>
              <w:widowControl w:val="0"/>
            </w:pPr>
            <w:r>
              <w:t>30</w:t>
            </w:r>
          </w:p>
        </w:tc>
        <w:tc>
          <w:tcPr>
            <w:tcW w:w="612" w:type="dxa"/>
            <w:vAlign w:val="center"/>
          </w:tcPr>
          <w:p w14:paraId="0C96DB77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126E2785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26EED124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7667BBD9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25B9B9A4"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67"/>
        <w:gridCol w:w="1445"/>
        <w:gridCol w:w="1445"/>
        <w:gridCol w:w="1445"/>
        <w:gridCol w:w="1445"/>
        <w:gridCol w:w="1445"/>
      </w:tblGrid>
      <w:tr w14:paraId="157A54AC"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 w14:paraId="11585415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049E5F6E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 w14:paraId="4ABFC27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 w14:paraId="399468AF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 w14:paraId="0D80DB6B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236E432F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58141519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 w14:paraId="451754C6">
        <w:trPr>
          <w:trHeight w:val="283" w:hRule="atLeast"/>
        </w:trPr>
        <w:tc>
          <w:tcPr>
            <w:tcW w:w="613" w:type="dxa"/>
            <w:vMerge w:val="continue"/>
          </w:tcPr>
          <w:p w14:paraId="110F163D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 w14:paraId="0AD4EE24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 w14:paraId="25C09599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837E31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 w14:paraId="4310321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5F5E676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 w14:paraId="43B2E750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4160C7AC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 w14:paraId="38D8E2A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737B2FD3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 w14:paraId="57E69CB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 w14:paraId="0168DF69">
        <w:trPr>
          <w:trHeight w:val="454" w:hRule="atLeast"/>
        </w:trPr>
        <w:tc>
          <w:tcPr>
            <w:tcW w:w="613" w:type="dxa"/>
            <w:vAlign w:val="center"/>
          </w:tcPr>
          <w:p w14:paraId="2B1C1B8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1C39B1A4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1403" w:type="dxa"/>
          </w:tcPr>
          <w:p w14:paraId="6C6094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理解艺术与设计的演变过程、背后的文化动因以及它们在不同历史时期的作用与影响。</w:t>
            </w:r>
          </w:p>
        </w:tc>
        <w:tc>
          <w:tcPr>
            <w:tcW w:w="1403" w:type="dxa"/>
          </w:tcPr>
          <w:p w14:paraId="502DEDFB">
            <w:pPr>
              <w:pStyle w:val="14"/>
              <w:widowControl w:val="0"/>
              <w:jc w:val="left"/>
              <w:rPr>
                <w:sz w:val="19"/>
                <w:szCs w:val="19"/>
              </w:rPr>
            </w:pP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理解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了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艺术与设计的演变过程、背后的文化动因以及它们在不同历史时期的作用与影响。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有自己的观点，并答题符合标准答案</w:t>
            </w:r>
          </w:p>
        </w:tc>
        <w:tc>
          <w:tcPr>
            <w:tcW w:w="1403" w:type="dxa"/>
          </w:tcPr>
          <w:p w14:paraId="0D0F9D37">
            <w:pPr>
              <w:pStyle w:val="14"/>
              <w:widowControl w:val="0"/>
              <w:jc w:val="left"/>
              <w:rPr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基本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理解艺术与设计的演变过程、背后的文化动因以及它们在不同历史时期的作用与影响。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答题符合标准答案的关键点信息</w:t>
            </w:r>
          </w:p>
        </w:tc>
        <w:tc>
          <w:tcPr>
            <w:tcW w:w="1403" w:type="dxa"/>
          </w:tcPr>
          <w:p w14:paraId="2B0EF117">
            <w:pPr>
              <w:pStyle w:val="14"/>
              <w:widowControl w:val="0"/>
              <w:jc w:val="left"/>
              <w:rPr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一般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理解艺术与设计的演变过程、背后的文化动因以及它们在不同历史时期的作用与影响。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答题符合标准答案的关键点信息</w:t>
            </w:r>
          </w:p>
        </w:tc>
        <w:tc>
          <w:tcPr>
            <w:tcW w:w="1403" w:type="dxa"/>
          </w:tcPr>
          <w:p w14:paraId="7743DC57">
            <w:pPr>
              <w:pStyle w:val="6"/>
              <w:widowControl/>
              <w:shd w:val="clear" w:color="auto" w:fill="FFFFFF"/>
              <w:jc w:val="left"/>
              <w:rPr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没有理解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理解艺术与设计的演变过程、背后的文化动因以及它们在不同历史时期的作用与影响。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答题不符合标准答案的关键点信息</w:t>
            </w:r>
          </w:p>
        </w:tc>
      </w:tr>
      <w:tr w14:paraId="47E38906">
        <w:trPr>
          <w:trHeight w:val="454" w:hRule="atLeast"/>
        </w:trPr>
        <w:tc>
          <w:tcPr>
            <w:tcW w:w="613" w:type="dxa"/>
            <w:vAlign w:val="center"/>
          </w:tcPr>
          <w:p w14:paraId="29A46D2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23FB734A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2.4</w:t>
            </w:r>
          </w:p>
        </w:tc>
        <w:tc>
          <w:tcPr>
            <w:tcW w:w="1403" w:type="dxa"/>
            <w:vAlign w:val="center"/>
          </w:tcPr>
          <w:p w14:paraId="30E910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分析和评价艺术与设计作品的能力，包括对艺术品和设计风格的理解，以及对创作者意图的解读。</w:t>
            </w:r>
          </w:p>
        </w:tc>
        <w:tc>
          <w:tcPr>
            <w:tcW w:w="1403" w:type="dxa"/>
            <w:vAlign w:val="center"/>
          </w:tcPr>
          <w:p w14:paraId="78204AD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分析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了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和评价艺术与设计作品的能力，包括对艺术品和设计风格的理解，以及对创作者意图的解读。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有自己的观点和认知</w:t>
            </w:r>
          </w:p>
        </w:tc>
        <w:tc>
          <w:tcPr>
            <w:tcW w:w="1403" w:type="dxa"/>
            <w:vAlign w:val="center"/>
          </w:tcPr>
          <w:p w14:paraId="09E555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基本分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析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了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和评价艺术与设计作品的能力，包括对艺术品和设计风格的理解，以及对创作者意图的解读。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有自己的观点和认知</w:t>
            </w:r>
          </w:p>
        </w:tc>
        <w:tc>
          <w:tcPr>
            <w:tcW w:w="1403" w:type="dxa"/>
            <w:vAlign w:val="center"/>
          </w:tcPr>
          <w:p w14:paraId="3E0DAA6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一般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分析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了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和评价艺术与设计作品的能力，包括对艺术品和设计风格的理解，以及对创作者意图的解读。</w:t>
            </w:r>
          </w:p>
        </w:tc>
        <w:tc>
          <w:tcPr>
            <w:tcW w:w="1403" w:type="dxa"/>
            <w:vAlign w:val="center"/>
          </w:tcPr>
          <w:p w14:paraId="2D4EEC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没有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分析和评价艺术与设计作品的能力，包括对艺术品和设计风格的理解，以及对创作者意图的解读。</w:t>
            </w:r>
          </w:p>
        </w:tc>
      </w:tr>
      <w:tr w14:paraId="4DCA5F72">
        <w:trPr>
          <w:trHeight w:val="454" w:hRule="atLeast"/>
        </w:trPr>
        <w:tc>
          <w:tcPr>
            <w:tcW w:w="613" w:type="dxa"/>
            <w:vAlign w:val="center"/>
          </w:tcPr>
          <w:p w14:paraId="7F0C97F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212F21C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3</w:t>
            </w:r>
          </w:p>
        </w:tc>
        <w:tc>
          <w:tcPr>
            <w:tcW w:w="1403" w:type="dxa"/>
            <w:vAlign w:val="center"/>
          </w:tcPr>
          <w:p w14:paraId="3AE4DF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培养跨文化比较的能力，能够理解不同文化背景下艺术与设计的异同之处，以及它们之间的相互影响。</w:t>
            </w:r>
          </w:p>
        </w:tc>
        <w:tc>
          <w:tcPr>
            <w:tcW w:w="1403" w:type="dxa"/>
            <w:vAlign w:val="center"/>
          </w:tcPr>
          <w:p w14:paraId="796D2D0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能够有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跨文化比较的能力，能够理解不同文化背景下艺术与设计的异同之处，以及它们之间的相互影响。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有自己的观点和认知</w:t>
            </w:r>
          </w:p>
        </w:tc>
        <w:tc>
          <w:tcPr>
            <w:tcW w:w="1403" w:type="dxa"/>
            <w:vAlign w:val="center"/>
          </w:tcPr>
          <w:p w14:paraId="6C6536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基本有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跨文化比较的能力，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基本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理解不同文化背景下艺术与设计的异同之处，以及它们之间的相互影响。</w:t>
            </w:r>
          </w:p>
        </w:tc>
        <w:tc>
          <w:tcPr>
            <w:tcW w:w="1403" w:type="dxa"/>
            <w:vAlign w:val="center"/>
          </w:tcPr>
          <w:p w14:paraId="01DBD4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一般了解跨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文化比较的能力，能够理解不同文化背景下艺术与设计的异同之处，以及它们之间的相互影响。</w:t>
            </w:r>
          </w:p>
        </w:tc>
        <w:tc>
          <w:tcPr>
            <w:tcW w:w="1403" w:type="dxa"/>
            <w:vAlign w:val="center"/>
          </w:tcPr>
          <w:p w14:paraId="6967CA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没有了解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跨文化比较的能力，能够理解不同文化背景下艺术与设计的异同之处，以及它们之间的相互影响。</w:t>
            </w:r>
          </w:p>
        </w:tc>
      </w:tr>
    </w:tbl>
    <w:p w14:paraId="40C8A8B5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52F2B11B">
        <w:tc>
          <w:tcPr>
            <w:tcW w:w="8296" w:type="dxa"/>
          </w:tcPr>
          <w:p w14:paraId="71F59971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  <w:p w14:paraId="59238465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无</w:t>
            </w:r>
          </w:p>
          <w:p w14:paraId="73244EDF"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 w14:paraId="509743C7">
      <w:pPr>
        <w:pStyle w:val="16"/>
        <w:rPr>
          <w:rFonts w:ascii="黑体" w:hAnsi="宋体"/>
          <w:sz w:val="18"/>
          <w:szCs w:val="16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Segoe UI">
    <w:altName w:val="苹方-简"/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20B0604020202020204"/>
    <w:charset w:val="86"/>
    <w:family w:val="script"/>
    <w:pitch w:val="default"/>
    <w:sig w:usb0="00000000" w:usb1="00000000" w:usb2="0000001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86C5A"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BFAD57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68BFAD57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I2MzAwYTM5MTJhNjUyMzczZjAyNDBmN2E4ZGQyNDQifQ=="/>
  </w:docVars>
  <w:rsids>
    <w:rsidRoot w:val="00B7651F"/>
    <w:rsid w:val="00004A2B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07553"/>
    <w:rsid w:val="00114668"/>
    <w:rsid w:val="00114BD6"/>
    <w:rsid w:val="00130F6D"/>
    <w:rsid w:val="00133554"/>
    <w:rsid w:val="0014046B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0967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1321C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11"/>
    <w:rsid w:val="005523FD"/>
    <w:rsid w:val="00553D03"/>
    <w:rsid w:val="00555BA0"/>
    <w:rsid w:val="00556E41"/>
    <w:rsid w:val="00571AF0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2C"/>
    <w:rsid w:val="007056DE"/>
    <w:rsid w:val="00705B3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0FE7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E5E38"/>
    <w:rsid w:val="008F253F"/>
    <w:rsid w:val="008F7F31"/>
    <w:rsid w:val="00900019"/>
    <w:rsid w:val="009023B1"/>
    <w:rsid w:val="00902A47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BA9"/>
    <w:rsid w:val="00AA4970"/>
    <w:rsid w:val="00AA536D"/>
    <w:rsid w:val="00AB0911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10E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69C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5AC4"/>
    <w:rsid w:val="00C66AB7"/>
    <w:rsid w:val="00C673D1"/>
    <w:rsid w:val="00C746CB"/>
    <w:rsid w:val="00C77BBF"/>
    <w:rsid w:val="00C77D64"/>
    <w:rsid w:val="00C81564"/>
    <w:rsid w:val="00C8162C"/>
    <w:rsid w:val="00C9080C"/>
    <w:rsid w:val="00C94429"/>
    <w:rsid w:val="00CA18FD"/>
    <w:rsid w:val="00CA27E5"/>
    <w:rsid w:val="00CA4897"/>
    <w:rsid w:val="00CA6928"/>
    <w:rsid w:val="00CB3D3F"/>
    <w:rsid w:val="00CB5A1A"/>
    <w:rsid w:val="00CB6888"/>
    <w:rsid w:val="00CC0DB8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75D81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A59F4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9CDDF8E"/>
    <w:rsid w:val="7C385448"/>
    <w:rsid w:val="7CB366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uiPriority w:val="0"/>
  </w:style>
  <w:style w:type="character" w:styleId="22">
    <w:name w:val="Placeholder Text"/>
    <w:basedOn w:val="9"/>
    <w:unhideWhenUsed/>
    <w:uiPriority w:val="99"/>
    <w:rPr>
      <w:color w:val="808080"/>
    </w:rPr>
  </w:style>
  <w:style w:type="paragraph" w:customStyle="1" w:styleId="23">
    <w:name w:val="p2"/>
    <w:basedOn w:val="1"/>
    <w:uiPriority w:val="0"/>
    <w:rPr>
      <w:rFonts w:ascii="Helvetica" w:hAnsi="Helvetica" w:eastAsia="Helvetica" w:cs="Times New Roman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617</Words>
  <Characters>3521</Characters>
  <Lines>29</Lines>
  <Paragraphs>8</Paragraphs>
  <TotalTime>10</TotalTime>
  <ScaleCrop>false</ScaleCrop>
  <LinksUpToDate>false</LinksUpToDate>
  <CharactersWithSpaces>4130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2024-01-28T12:49:00Z</dcterms:created>
  <dc:creator>juvg</dc:creator>
  <cp:lastModifiedBy>WPS_1608867249</cp:lastModifiedBy>
  <cp:lastPrinted>2023-11-21T08:52:00Z</cp:lastPrinted>
  <dcterms:modified xsi:type="dcterms:W3CDTF">2025-09-11T08:17:13Z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6A66544F04843F370915C268B3E2020F_42</vt:lpwstr>
  </property>
</Properties>
</file>