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《虚拟交互文创产品设计》本科课程教学大纲</w:t>
      </w:r>
    </w:p>
    <w:p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（中文）虚拟交互文创产品设计</w:t>
            </w:r>
          </w:p>
        </w:tc>
      </w:tr>
      <w:tr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（英文）Virtual interactive cultural and creative product design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2040166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sz w:val="21"/>
                <w:szCs w:val="18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 w:ascii="黑体" w:hAnsi="黑体" w:eastAsia="黑体" w:cs="黑体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适用专业与年级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艺科大三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专业课程/必修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文化创意产品设计及案例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张颖娉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ISBN：9787122361455、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化学工业出版社 2020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.6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rPr>
          <w:trHeight w:val="654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jc w:val="both"/>
            </w:pPr>
            <w:r>
              <w:rPr>
                <w:rFonts w:hint="eastAsia"/>
              </w:rPr>
              <w:t xml:space="preserve"> 传感器技术应用2080442（3）</w:t>
            </w:r>
          </w:p>
        </w:tc>
      </w:tr>
      <w:tr>
        <w:trPr>
          <w:trHeight w:val="3629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15"/>
              <w:widowControl w:val="0"/>
              <w:jc w:val="both"/>
            </w:pPr>
            <w:r>
              <w:rPr>
                <w:rFonts w:hint="eastAsia"/>
              </w:rPr>
              <w:t>本课程是艺术与科技专业的一门专业必修课。随着我国文化消费的激增，人们开始思考如何更好地展示文创产品。本课程将介绍增强现实技术，并结合Kivicube平台的Web图像识别与跟踪技术，支持Natural Feature Tracking识别与跟踪，解决传统Web端Pattern识别图不够个性化的问题，同时能够保持较高性能与跟踪帧率。通过这些技术的应用，我们将探索虚拟文创与现实的结合，创新文创艺术的展示方式，探索文创艺术设计的创新途径。同时，本课程还将介绍虚拟交互技术，探讨如何通过虚拟现实技术和互动设计，让观众可以更直观地体验文创艺术作品，增强观众的参与感和沉浸感。学生将有机会学习如何利用虚拟交互技术，设计出更具有吸引力和趣味性的文创艺术作品，从而推动文创艺术领域的创新发展。通过本课程的学习，学生将能够掌握前沿的艺术与科技交叉领域知识，为未来的文创艺术设计和展示做好充分准备。</w:t>
            </w:r>
          </w:p>
        </w:tc>
      </w:tr>
      <w:tr>
        <w:trPr>
          <w:trHeight w:val="115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5"/>
              <w:widowControl w:val="0"/>
              <w:jc w:val="both"/>
            </w:pPr>
            <w:r>
              <w:rPr>
                <w:rFonts w:hint="eastAsia" w:asciiTheme="minorEastAsia" w:hAnsiTheme="minorEastAsia" w:eastAsiaTheme="minorEastAsia"/>
              </w:rPr>
              <w:t>本课程是学院专业必修课，建议在第五学期开展。该课程培养学生认识和了解什么是虚拟交互文创产品设计，帮助学生了解虚拟交互文创产品设计的优势和意义，掌握正确的设计流程，方法论的应用。</w:t>
            </w:r>
          </w:p>
        </w:tc>
      </w:tr>
      <w:tr>
        <w:trPr>
          <w:trHeight w:val="767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1176655</wp:posOffset>
                  </wp:positionH>
                  <wp:positionV relativeFrom="paragraph">
                    <wp:posOffset>440690</wp:posOffset>
                  </wp:positionV>
                  <wp:extent cx="391795" cy="502920"/>
                  <wp:effectExtent l="0" t="0" r="5080" b="14605"/>
                  <wp:wrapNone/>
                  <wp:docPr id="2" name="图片 2" descr="高老师电子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高老师电子签名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91795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1153795</wp:posOffset>
                  </wp:positionH>
                  <wp:positionV relativeFrom="paragraph">
                    <wp:posOffset>36830</wp:posOffset>
                  </wp:positionV>
                  <wp:extent cx="391795" cy="502920"/>
                  <wp:effectExtent l="0" t="0" r="0" b="4445"/>
                  <wp:wrapNone/>
                  <wp:docPr id="1" name="图片 1" descr="高老师电子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高老师电子签名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91795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Times New Roman" w:hAnsi="Times New Roman" w:eastAsia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>4.8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2024.9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792480" cy="363220"/>
                  <wp:effectExtent l="0" t="0" r="0" b="2540"/>
                  <wp:docPr id="5" name="图片 5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2024.9</w:t>
            </w:r>
          </w:p>
        </w:tc>
      </w:tr>
    </w:tbl>
    <w:p>
      <w:pPr>
        <w:spacing w:line="100" w:lineRule="exact"/>
        <w:rPr>
          <w:rFonts w:ascii="Arial" w:hAnsi="Arial" w:eastAsia="黑体"/>
        </w:rPr>
      </w:pPr>
      <w:r>
        <w:br w:type="page"/>
      </w:r>
    </w:p>
    <w:p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>
      <w:pPr>
        <w:pStyle w:val="18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8"/>
        <w:tblW w:w="488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09"/>
        <w:gridCol w:w="767"/>
        <w:gridCol w:w="6300"/>
      </w:tblGrid>
      <w:tr>
        <w:trPr>
          <w:trHeight w:val="454" w:hRule="atLeast"/>
          <w:jc w:val="center"/>
        </w:trPr>
        <w:tc>
          <w:tcPr>
            <w:tcW w:w="1181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151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rPr>
          <w:trHeight w:val="741" w:hRule="atLeast"/>
          <w:jc w:val="center"/>
        </w:trPr>
        <w:tc>
          <w:tcPr>
            <w:tcW w:w="1181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</w:p>
        </w:tc>
        <w:tc>
          <w:tcPr>
            <w:tcW w:w="6151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使学生</w:t>
            </w:r>
            <w:r>
              <w:rPr>
                <w:rFonts w:ascii="宋体" w:hAnsi="宋体"/>
                <w:bCs/>
              </w:rPr>
              <w:t>了解</w:t>
            </w:r>
            <w:r>
              <w:rPr>
                <w:rFonts w:hint="eastAsia" w:ascii="宋体" w:hAnsi="宋体"/>
                <w:bCs/>
              </w:rPr>
              <w:t>虚拟交互文创产品设计的概念及设计内容，理解</w:t>
            </w:r>
            <w:r>
              <w:rPr>
                <w:rFonts w:ascii="宋体" w:hAnsi="宋体"/>
                <w:bCs/>
              </w:rPr>
              <w:t>设计思维的核心原则和方法论</w:t>
            </w:r>
            <w:r>
              <w:rPr>
                <w:rFonts w:hint="eastAsia" w:ascii="宋体" w:hAnsi="宋体"/>
                <w:bCs/>
              </w:rPr>
              <w:t>。</w:t>
            </w:r>
          </w:p>
        </w:tc>
      </w:tr>
      <w:tr>
        <w:trPr>
          <w:trHeight w:val="773" w:hRule="atLeast"/>
          <w:jc w:val="center"/>
        </w:trPr>
        <w:tc>
          <w:tcPr>
            <w:tcW w:w="118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</w:p>
        </w:tc>
        <w:tc>
          <w:tcPr>
            <w:tcW w:w="7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151" w:type="dxa"/>
            <w:vAlign w:val="center"/>
          </w:tcPr>
          <w:p>
            <w:pPr>
              <w:pStyle w:val="15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提高学生在</w:t>
            </w:r>
            <w:r>
              <w:rPr>
                <w:rFonts w:hint="eastAsia" w:ascii="宋体" w:hAnsi="宋体"/>
                <w:bCs/>
              </w:rPr>
              <w:t>作品</w:t>
            </w:r>
            <w:r>
              <w:rPr>
                <w:rFonts w:ascii="宋体" w:hAnsi="宋体"/>
                <w:bCs/>
              </w:rPr>
              <w:t>设计中的创新能力，包括创意思维和批判性思维。</w:t>
            </w:r>
          </w:p>
        </w:tc>
      </w:tr>
      <w:tr>
        <w:trPr>
          <w:trHeight w:val="340" w:hRule="atLeast"/>
          <w:jc w:val="center"/>
        </w:trPr>
        <w:tc>
          <w:tcPr>
            <w:tcW w:w="1181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151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培养学生运用设计思维解决实际问题的能力。</w:t>
            </w:r>
          </w:p>
        </w:tc>
      </w:tr>
      <w:tr>
        <w:trPr>
          <w:trHeight w:val="340" w:hRule="atLeast"/>
          <w:jc w:val="center"/>
        </w:trPr>
        <w:tc>
          <w:tcPr>
            <w:tcW w:w="1181" w:type="dxa"/>
            <w:vMerge w:val="continue"/>
            <w:vAlign w:val="center"/>
          </w:tcPr>
          <w:p>
            <w:pPr>
              <w:pStyle w:val="15"/>
              <w:rPr>
                <w:rFonts w:ascii="宋体" w:hAnsi="宋体"/>
              </w:rPr>
            </w:pPr>
          </w:p>
        </w:tc>
        <w:tc>
          <w:tcPr>
            <w:tcW w:w="7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151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学生应当具备设计思维和创新意识，学习如何有效地沟通和呈现设计想法，包括绘图、模型制作和虚拟交互演示技巧。</w:t>
            </w:r>
          </w:p>
        </w:tc>
      </w:tr>
      <w:tr>
        <w:trPr>
          <w:trHeight w:val="340" w:hRule="atLeast"/>
          <w:jc w:val="center"/>
        </w:trPr>
        <w:tc>
          <w:tcPr>
            <w:tcW w:w="1181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151" w:type="dxa"/>
            <w:vAlign w:val="center"/>
          </w:tcPr>
          <w:p>
            <w:pPr>
              <w:pStyle w:val="15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发展学生的跨学科思维能力，鼓励他们在设计过程中融合不同的知识和技能。</w:t>
            </w:r>
          </w:p>
        </w:tc>
      </w:tr>
      <w:tr>
        <w:trPr>
          <w:trHeight w:val="1316" w:hRule="atLeast"/>
          <w:jc w:val="center"/>
        </w:trPr>
        <w:tc>
          <w:tcPr>
            <w:tcW w:w="1181" w:type="dxa"/>
            <w:vMerge w:val="continue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74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151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增强团队合作和领导能力，特别是在多元文化和跨学科团队中。培养批判性和反思性思考，以及对设计决策的社会、文化和环境影响的意识。</w:t>
            </w:r>
          </w:p>
        </w:tc>
      </w:tr>
    </w:tbl>
    <w:p>
      <w:pPr>
        <w:pStyle w:val="18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9"/>
        <w:tblW w:w="821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7"/>
      </w:tblGrid>
      <w:tr>
        <w:tc>
          <w:tcPr>
            <w:tcW w:w="82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LO1品德修养：拥护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中国共产</w:t>
            </w:r>
            <w:r>
              <w:rPr>
                <w:bCs/>
                <w:color w:val="000000"/>
                <w:sz w:val="21"/>
                <w:szCs w:val="21"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“感恩、回报、爱心、责任”</w:t>
            </w:r>
            <w:r>
              <w:rPr>
                <w:bCs/>
                <w:color w:val="000000"/>
                <w:sz w:val="21"/>
                <w:szCs w:val="21"/>
              </w:rPr>
              <w:t>八字校训，积极服务他人、服务社会、诚信尽责、爱岗敬业。</w:t>
            </w:r>
          </w:p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④</w:t>
            </w:r>
            <w:r>
              <w:rPr>
                <w:bCs/>
                <w:color w:val="000000"/>
                <w:sz w:val="21"/>
                <w:szCs w:val="21"/>
              </w:rPr>
              <w:t xml:space="preserve">诚信尽责，为人诚实，信守承诺，勤奋努力，精益求精，勇于担责。 </w:t>
            </w:r>
          </w:p>
        </w:tc>
      </w:tr>
      <w:tr>
        <w:tc>
          <w:tcPr>
            <w:tcW w:w="82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LO2专业能力：具有人文科学素养，具备从事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科技文创设计服务或艺术与科技</w:t>
            </w:r>
            <w:r>
              <w:rPr>
                <w:bCs/>
                <w:color w:val="000000"/>
                <w:sz w:val="21"/>
                <w:szCs w:val="21"/>
              </w:rPr>
              <w:t>专业的理论知识、实践能力。</w:t>
            </w:r>
          </w:p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outlineLvl w:val="0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②具备软件应用能力。利用数字、网络、虚拟、互动等多种数字软件设计制作的概念、技能和技术的知识和能力，能够灵活应用设计软件进行工作。</w:t>
            </w:r>
          </w:p>
        </w:tc>
      </w:tr>
      <w:tr>
        <w:tc>
          <w:tcPr>
            <w:tcW w:w="82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LO</w:t>
            </w: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bCs/>
                <w:color w:val="000000"/>
                <w:sz w:val="21"/>
                <w:szCs w:val="21"/>
              </w:rPr>
              <w:t>协同创新：同群体保持良好的合作关系，做集体中的积极成员，善于自我管理和团队管理；善于从多个维度思考问题，利用自己的知识与实践来提出新设想。</w:t>
            </w:r>
          </w:p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③能用创新的方法或者多种方法解决复杂问题或真实问题。</w:t>
            </w:r>
          </w:p>
        </w:tc>
      </w:tr>
      <w:tr>
        <w:tc>
          <w:tcPr>
            <w:tcW w:w="82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LO8国际视野：具有基本的外语表达沟通能力与跨文化理解能力，有国际竞争与合作的意识。</w:t>
            </w:r>
          </w:p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③</w:t>
            </w:r>
            <w:r>
              <w:rPr>
                <w:bCs/>
                <w:color w:val="000000"/>
                <w:sz w:val="21"/>
                <w:szCs w:val="21"/>
              </w:rPr>
              <w:t>有国际竞争与合作意识。</w:t>
            </w:r>
          </w:p>
        </w:tc>
      </w:tr>
    </w:tbl>
    <w:p>
      <w:pPr>
        <w:pStyle w:val="18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864"/>
        <w:gridCol w:w="713"/>
        <w:gridCol w:w="797"/>
        <w:gridCol w:w="4753"/>
        <w:gridCol w:w="1349"/>
      </w:tblGrid>
      <w:tr>
        <w:trPr>
          <w:trHeight w:val="391" w:hRule="atLeast"/>
          <w:jc w:val="center"/>
        </w:trPr>
        <w:tc>
          <w:tcPr>
            <w:tcW w:w="864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13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7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53" w:type="dxa"/>
            <w:tcBorders>
              <w:top w:val="single" w:color="auto" w:sz="12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9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rPr>
          <w:trHeight w:val="340" w:hRule="atLeast"/>
          <w:jc w:val="center"/>
        </w:trPr>
        <w:tc>
          <w:tcPr>
            <w:tcW w:w="86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L</w:t>
            </w:r>
            <w:r>
              <w:t>O1</w:t>
            </w:r>
          </w:p>
        </w:tc>
        <w:tc>
          <w:tcPr>
            <w:tcW w:w="713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4</w:t>
            </w:r>
          </w:p>
        </w:tc>
        <w:tc>
          <w:tcPr>
            <w:tcW w:w="797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53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通过案例分析、团队合作项目和伦理道德讨论，引导学生思考诚信和责任。教师以身作则，做学生的榜样，影响学生，让他们在实践中感受到诚信和责任的力量。教师可以培养学生尊重他人劳动成果，勇于担责，勤奋努力，精益求精的品质。通过这些方式，学生能够在学习艺术与科技专业的同时，培养出诚信尽责、为人诚实、信守承诺、勇于担责的品质。</w:t>
            </w:r>
          </w:p>
        </w:tc>
        <w:tc>
          <w:tcPr>
            <w:tcW w:w="1349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</w:t>
            </w:r>
            <w:r>
              <w:rPr>
                <w:rFonts w:ascii="宋体" w:hAnsi="宋体"/>
                <w:bCs/>
              </w:rPr>
              <w:t>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rPr>
          <w:trHeight w:val="2262" w:hRule="atLeast"/>
          <w:jc w:val="center"/>
        </w:trPr>
        <w:tc>
          <w:tcPr>
            <w:tcW w:w="86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L</w:t>
            </w:r>
            <w:r>
              <w:t>O2</w:t>
            </w:r>
          </w:p>
          <w:p>
            <w:pPr>
              <w:pStyle w:val="15"/>
            </w:pPr>
          </w:p>
        </w:tc>
        <w:tc>
          <w:tcPr>
            <w:tcW w:w="713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/>
                <w:bCs/>
                <w:lang w:val="en-US" w:eastAsia="zh-CN"/>
              </w:rPr>
              <w:t>2</w:t>
            </w:r>
          </w:p>
        </w:tc>
        <w:tc>
          <w:tcPr>
            <w:tcW w:w="797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H</w:t>
            </w:r>
          </w:p>
        </w:tc>
        <w:tc>
          <w:tcPr>
            <w:tcW w:w="4753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程通过跨学科融合创新，教授新媒介、新科技、新材料，并将其应用于设计项目中。学生将参与产业链项目合作实践，培养创新与实践能力。通过这些手段，学生将具备在实践中应用新媒介、新科技和新材料的能力，同时能与产业链项目端合作，为未来的职业发展做好准备。</w:t>
            </w:r>
          </w:p>
        </w:tc>
        <w:tc>
          <w:tcPr>
            <w:tcW w:w="1349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</w:t>
            </w:r>
            <w:r>
              <w:rPr>
                <w:rFonts w:ascii="宋体" w:hAnsi="宋体"/>
                <w:bCs/>
              </w:rPr>
              <w:t>0</w:t>
            </w:r>
            <w:r>
              <w:rPr>
                <w:rFonts w:hint="eastAsia" w:ascii="宋体" w:hAnsi="宋体"/>
                <w:bCs/>
              </w:rPr>
              <w:t>%</w:t>
            </w:r>
          </w:p>
          <w:p>
            <w:pPr>
              <w:pStyle w:val="15"/>
              <w:rPr>
                <w:rFonts w:ascii="宋体" w:hAnsi="宋体"/>
                <w:bCs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86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L</w:t>
            </w:r>
            <w:r>
              <w:t>O</w:t>
            </w:r>
            <w:r>
              <w:rPr>
                <w:rFonts w:hint="eastAsia"/>
              </w:rPr>
              <w:t>6</w:t>
            </w:r>
          </w:p>
        </w:tc>
        <w:tc>
          <w:tcPr>
            <w:tcW w:w="713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rPr>
                <w:rFonts w:hint="eastAsia" w:eastAsia="宋体" w:cs="Times New Roman"/>
                <w:bCs/>
                <w:lang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3</w:t>
            </w:r>
          </w:p>
        </w:tc>
        <w:tc>
          <w:tcPr>
            <w:tcW w:w="797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53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课程通过案例分析、讨论和实践项目，培养学生质疑精神，引导他们进行逻辑分析与批判。学生将学会用批判性思维思考问题，提出质疑并进行逻辑分析，从而培养批判性思维和</w:t>
            </w:r>
            <w:r>
              <w:rPr>
                <w:rFonts w:hint="eastAsia" w:ascii="宋体" w:hAnsi="宋体"/>
                <w:bCs/>
                <w:lang w:val="en-US" w:eastAsia="zh-CN"/>
              </w:rPr>
              <w:t>创新式解决问题的能力</w:t>
            </w:r>
            <w:r>
              <w:rPr>
                <w:rFonts w:hint="eastAsia" w:ascii="宋体" w:hAnsi="宋体"/>
                <w:bCs/>
              </w:rPr>
              <w:t>。</w:t>
            </w:r>
          </w:p>
        </w:tc>
        <w:tc>
          <w:tcPr>
            <w:tcW w:w="1349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rPr>
          <w:trHeight w:val="340" w:hRule="atLeast"/>
          <w:jc w:val="center"/>
        </w:trPr>
        <w:tc>
          <w:tcPr>
            <w:tcW w:w="86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L</w:t>
            </w:r>
            <w:r>
              <w:t>O</w:t>
            </w:r>
            <w:r>
              <w:rPr>
                <w:rFonts w:hint="eastAsia"/>
              </w:rPr>
              <w:t>8</w:t>
            </w:r>
          </w:p>
        </w:tc>
        <w:tc>
          <w:tcPr>
            <w:tcW w:w="713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3</w:t>
            </w:r>
          </w:p>
        </w:tc>
        <w:tc>
          <w:tcPr>
            <w:tcW w:w="797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L</w:t>
            </w:r>
          </w:p>
        </w:tc>
        <w:tc>
          <w:tcPr>
            <w:tcW w:w="4753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课程通过国际案例分析、项目合作等方式培养学生国际竞争和合作意识，使他们了解国际前沿趋势，培养跨文化沟通能力，为未来的国际竞争与合作做好准备。</w:t>
            </w:r>
          </w:p>
        </w:tc>
        <w:tc>
          <w:tcPr>
            <w:tcW w:w="1349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100%</w:t>
            </w:r>
          </w:p>
        </w:tc>
      </w:tr>
    </w:tbl>
    <w:p>
      <w:pPr>
        <w:pStyle w:val="14"/>
      </w:pPr>
    </w:p>
    <w:p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>
      <w:pPr>
        <w:pStyle w:val="18"/>
        <w:spacing w:before="163" w:after="163"/>
      </w:pPr>
      <w:r>
        <w:rPr>
          <w:rFonts w:hint="eastAsia"/>
        </w:rPr>
        <w:t>（一）各教学单元预期学习成果与教学内容</w:t>
      </w:r>
    </w:p>
    <w:tbl>
      <w:tblPr>
        <w:tblStyle w:val="9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>
        <w:tc>
          <w:tcPr>
            <w:tcW w:w="8276" w:type="dxa"/>
          </w:tcPr>
          <w:p>
            <w:pPr>
              <w:widowControl w:val="0"/>
              <w:snapToGrid w:val="0"/>
              <w:spacing w:line="24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bookmarkStart w:id="0" w:name="OLE_LINK6"/>
            <w:bookmarkStart w:id="1" w:name="OLE_LINK5"/>
            <w:r>
              <w:rPr>
                <w:bCs/>
                <w:color w:val="000000"/>
                <w:sz w:val="21"/>
                <w:szCs w:val="21"/>
              </w:rPr>
              <w:t>本课程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总课时为</w:t>
            </w:r>
            <w:r>
              <w:rPr>
                <w:bCs/>
                <w:color w:val="000000"/>
                <w:sz w:val="21"/>
                <w:szCs w:val="21"/>
              </w:rPr>
              <w:t>48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学时，其中教师课堂授课（含讲解、演示、点评等环节）学时约为1</w:t>
            </w:r>
            <w:r>
              <w:rPr>
                <w:bCs/>
                <w:color w:val="000000"/>
                <w:sz w:val="21"/>
                <w:szCs w:val="21"/>
              </w:rPr>
              <w:t>8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学时；学生课内实践环节约为</w:t>
            </w:r>
            <w:r>
              <w:rPr>
                <w:bCs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0学时；课外练习、调研、阅读文献及作业等时间不计在内。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第 1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单元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认识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与实操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Kivicube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Hans"/>
              </w:rPr>
              <w:t>平台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（理论课时数：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,实践课时数: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）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1.1 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平台简介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1.2 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平台操作指导与实操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1.</w:t>
            </w:r>
            <w:r>
              <w:rPr>
                <w:bCs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 设计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实践</w:t>
            </w:r>
          </w:p>
          <w:p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知识点与能力要求：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了解该平台的五大核心功能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熟练操作</w:t>
            </w:r>
          </w:p>
          <w:p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asciiTheme="minorEastAsia" w:hAnsiTheme="minorEastAsia" w:eastAsiaTheme="minorEastAsia" w:cs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重点与难点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结合所要展示方式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选择对应的功能板块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420" w:firstLineChars="175"/>
              <w:jc w:val="both"/>
              <w:rPr>
                <w:bCs/>
                <w:color w:val="000000"/>
                <w:szCs w:val="21"/>
              </w:rPr>
            </w:pP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第 2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单元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 文创产品设计的类型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（理论课时数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,实践课时数: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）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2.1  源于传统文化的文创产品设计 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2.2  博物馆的文创产品设计 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2.3  由IP引导的文创产品设计 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2.4  文旅融合下的旅游文创产品设计 </w:t>
            </w:r>
          </w:p>
          <w:p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asciiTheme="minorEastAsia" w:hAnsiTheme="minorEastAsia" w:eastAsiaTheme="minorEastAsia" w:cs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知识点与能力要求：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了解文创的设计渊源与设计表达形式</w:t>
            </w:r>
          </w:p>
          <w:p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asciiTheme="minorEastAsia" w:hAnsiTheme="minorEastAsia" w:eastAsiaTheme="minorEastAsia" w:cs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重点与难点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掌握多种情境下的文创产品设计输出表达</w:t>
            </w:r>
          </w:p>
          <w:p>
            <w:pPr>
              <w:widowControl w:val="0"/>
              <w:snapToGrid w:val="0"/>
              <w:spacing w:line="100" w:lineRule="atLeast"/>
              <w:ind w:right="-65" w:rightChars="-27"/>
              <w:jc w:val="both"/>
              <w:rPr>
                <w:bCs/>
                <w:color w:val="000000"/>
                <w:szCs w:val="21"/>
              </w:rPr>
            </w:pP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第 </w:t>
            </w:r>
            <w:r>
              <w:rPr>
                <w:bCs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单元</w:t>
            </w:r>
            <w:r>
              <w:rPr>
                <w:bCs/>
                <w:color w:val="000000"/>
                <w:sz w:val="21"/>
                <w:szCs w:val="21"/>
                <w:lang w:eastAsia="zh-Hans"/>
              </w:rPr>
              <w:t xml:space="preserve"> 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从文化载体到文创产品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（理论课时数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,实践课时数: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）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.1 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头脑风暴与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绘制草图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bCs/>
                <w:color w:val="000000"/>
                <w:sz w:val="21"/>
                <w:szCs w:val="21"/>
                <w:lang w:eastAsia="zh-Hans"/>
              </w:rPr>
              <w:t xml:space="preserve">2 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模型构建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3.3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 设计尝试：完成你的文创产品</w:t>
            </w:r>
          </w:p>
          <w:p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asciiTheme="minorEastAsia" w:hAnsiTheme="minorEastAsia" w:eastAsiaTheme="minorEastAsia" w:cs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知识点与能力要求：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构建模型与渲染</w:t>
            </w:r>
          </w:p>
          <w:p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asciiTheme="minorEastAsia" w:hAnsiTheme="minorEastAsia" w:eastAsiaTheme="minorEastAsia" w:cs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重点与难点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把握模型的文创语言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420" w:firstLineChars="175"/>
              <w:jc w:val="both"/>
              <w:rPr>
                <w:bCs/>
                <w:color w:val="000000"/>
                <w:szCs w:val="21"/>
              </w:rPr>
            </w:pP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  <w:lang w:eastAsia="zh-Hans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第</w:t>
            </w:r>
            <w:r>
              <w:rPr>
                <w:bCs/>
                <w:color w:val="000000"/>
                <w:sz w:val="21"/>
                <w:szCs w:val="21"/>
              </w:rPr>
              <w:t xml:space="preserve"> 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单元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虚拟交互文创设计展示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（理论课时数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,实践课时数: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）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  <w:lang w:eastAsia="zh-Hans"/>
              </w:rPr>
            </w:pPr>
            <w:r>
              <w:rPr>
                <w:bCs/>
                <w:color w:val="000000"/>
                <w:sz w:val="21"/>
                <w:szCs w:val="21"/>
                <w:lang w:eastAsia="zh-Hans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bCs/>
                <w:color w:val="000000"/>
                <w:sz w:val="21"/>
                <w:szCs w:val="21"/>
                <w:lang w:eastAsia="zh-Hans"/>
              </w:rPr>
              <w:t xml:space="preserve">1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搭载平台还原模型应用场景</w:t>
            </w:r>
          </w:p>
          <w:p>
            <w:pPr>
              <w:widowControl w:val="0"/>
              <w:snapToGrid w:val="0"/>
              <w:spacing w:line="100" w:lineRule="atLeast"/>
              <w:ind w:right="-65" w:rightChars="-27" w:firstLine="367" w:firstLineChars="175"/>
              <w:jc w:val="both"/>
              <w:rPr>
                <w:bCs/>
                <w:color w:val="000000"/>
                <w:szCs w:val="21"/>
                <w:lang w:eastAsia="zh-Hans"/>
              </w:rPr>
            </w:pPr>
            <w:r>
              <w:rPr>
                <w:bCs/>
                <w:color w:val="000000"/>
                <w:sz w:val="21"/>
                <w:szCs w:val="21"/>
                <w:lang w:eastAsia="zh-Hans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bCs/>
                <w:color w:val="000000"/>
                <w:sz w:val="21"/>
                <w:szCs w:val="21"/>
                <w:lang w:eastAsia="zh-Hans"/>
              </w:rPr>
              <w:t xml:space="preserve">2 </w:t>
            </w:r>
            <w:r>
              <w:rPr>
                <w:rFonts w:hint="eastAsia"/>
                <w:bCs/>
                <w:color w:val="000000"/>
                <w:sz w:val="21"/>
                <w:szCs w:val="21"/>
                <w:lang w:eastAsia="zh-Hans"/>
              </w:rPr>
              <w:t>作品生成</w:t>
            </w:r>
          </w:p>
          <w:p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asciiTheme="minorEastAsia" w:hAnsiTheme="minorEastAsia" w:eastAsiaTheme="minorEastAsia" w:cs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知识点与能力要求：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深入平台各种应用场景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制定作品展示方案</w:t>
            </w:r>
          </w:p>
          <w:p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asciiTheme="minorEastAsia" w:hAnsiTheme="minorEastAsia" w:eastAsiaTheme="minorEastAsia" w:cs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重点与难点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把握真实感与沉浸感的综合体验</w:t>
            </w:r>
          </w:p>
          <w:p>
            <w:pPr>
              <w:pStyle w:val="15"/>
              <w:widowControl w:val="0"/>
              <w:jc w:val="left"/>
              <w:rPr>
                <w:rFonts w:ascii="宋体" w:hAnsi="宋体"/>
              </w:rPr>
            </w:pPr>
          </w:p>
        </w:tc>
      </w:tr>
      <w:bookmarkEnd w:id="0"/>
      <w:bookmarkEnd w:id="1"/>
    </w:tbl>
    <w:p>
      <w:pPr>
        <w:pStyle w:val="18"/>
        <w:spacing w:before="163" w:after="163"/>
      </w:pPr>
      <w:r>
        <w:rPr>
          <w:rFonts w:hint="eastAsia"/>
        </w:rPr>
        <w:t>（二）教学单元对课程目标的支撑关系</w:t>
      </w:r>
    </w:p>
    <w:tbl>
      <w:tblPr>
        <w:tblStyle w:val="8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75"/>
        <w:gridCol w:w="1099"/>
        <w:gridCol w:w="1099"/>
        <w:gridCol w:w="1099"/>
        <w:gridCol w:w="1098"/>
        <w:gridCol w:w="1098"/>
        <w:gridCol w:w="1098"/>
      </w:tblGrid>
      <w:tr>
        <w:trPr>
          <w:trHeight w:val="794" w:hRule="atLeast"/>
          <w:jc w:val="center"/>
        </w:trPr>
        <w:tc>
          <w:tcPr>
            <w:tcW w:w="1833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4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4"/>
              <w:ind w:right="210"/>
              <w:jc w:val="left"/>
              <w:rPr>
                <w:szCs w:val="16"/>
              </w:rPr>
            </w:pPr>
          </w:p>
          <w:p>
            <w:pPr>
              <w:pStyle w:val="14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1073" w:type="dxa"/>
            <w:tcBorders>
              <w:top w:val="single" w:color="auto" w:sz="12" w:space="0"/>
            </w:tcBorders>
          </w:tcPr>
          <w:p>
            <w:pPr>
              <w:pStyle w:val="14"/>
              <w:rPr>
                <w:rFonts w:hint="eastAsia"/>
                <w:szCs w:val="16"/>
              </w:rPr>
            </w:pPr>
          </w:p>
          <w:p>
            <w:pPr>
              <w:pStyle w:val="14"/>
              <w:rPr>
                <w:rFonts w:hint="eastAsia"/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>
        <w:trPr>
          <w:trHeight w:val="340" w:hRule="atLeast"/>
          <w:jc w:val="center"/>
        </w:trPr>
        <w:tc>
          <w:tcPr>
            <w:tcW w:w="1833" w:type="dxa"/>
            <w:tcBorders>
              <w:left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 w:asciiTheme="minorEastAsia" w:hAnsiTheme="minorEastAsia" w:eastAsiaTheme="minorEastAsia" w:cstheme="minorEastAsia"/>
              </w:rPr>
              <w:t>调研报告</w:t>
            </w:r>
          </w:p>
        </w:tc>
        <w:tc>
          <w:tcPr>
            <w:tcW w:w="1074" w:type="dxa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15"/>
            </w:pPr>
          </w:p>
        </w:tc>
        <w:tc>
          <w:tcPr>
            <w:tcW w:w="1073" w:type="dxa"/>
            <w:vAlign w:val="center"/>
          </w:tcPr>
          <w:p>
            <w:pPr>
              <w:pStyle w:val="15"/>
            </w:pPr>
          </w:p>
        </w:tc>
        <w:tc>
          <w:tcPr>
            <w:tcW w:w="1073" w:type="dxa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</w:tcPr>
          <w:p>
            <w:pPr>
              <w:pStyle w:val="14"/>
              <w:rPr>
                <w:rFonts w:hint="eastAsia"/>
                <w:szCs w:val="16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1833" w:type="dxa"/>
            <w:tcBorders>
              <w:left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 w:asciiTheme="minorEastAsia" w:hAnsiTheme="minorEastAsia" w:eastAsiaTheme="minorEastAsia"/>
                <w:lang w:eastAsia="zh-Hans"/>
              </w:rPr>
              <w:t>作品设计</w:t>
            </w:r>
          </w:p>
        </w:tc>
        <w:tc>
          <w:tcPr>
            <w:tcW w:w="1074" w:type="dxa"/>
            <w:vAlign w:val="center"/>
          </w:tcPr>
          <w:p>
            <w:pPr>
              <w:pStyle w:val="15"/>
            </w:pPr>
          </w:p>
        </w:tc>
        <w:tc>
          <w:tcPr>
            <w:tcW w:w="1074" w:type="dxa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15"/>
            </w:pPr>
          </w:p>
        </w:tc>
        <w:tc>
          <w:tcPr>
            <w:tcW w:w="1073" w:type="dxa"/>
            <w:vAlign w:val="center"/>
          </w:tcPr>
          <w:p>
            <w:pPr>
              <w:pStyle w:val="15"/>
            </w:pPr>
          </w:p>
        </w:tc>
        <w:tc>
          <w:tcPr>
            <w:tcW w:w="1073" w:type="dxa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</w:rPr>
              <w:t>√</w:t>
            </w:r>
          </w:p>
        </w:tc>
      </w:tr>
      <w:tr>
        <w:trPr>
          <w:trHeight w:val="340" w:hRule="atLeast"/>
          <w:jc w:val="center"/>
        </w:trPr>
        <w:tc>
          <w:tcPr>
            <w:tcW w:w="1833" w:type="dxa"/>
            <w:tcBorders>
              <w:left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 w:asciiTheme="minorEastAsia" w:hAnsiTheme="minorEastAsia" w:eastAsiaTheme="minorEastAsia"/>
                <w:bCs/>
                <w:lang w:eastAsia="zh-Hans"/>
              </w:rPr>
              <w:t>三维建模</w:t>
            </w:r>
          </w:p>
        </w:tc>
        <w:tc>
          <w:tcPr>
            <w:tcW w:w="1074" w:type="dxa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15"/>
            </w:pPr>
          </w:p>
        </w:tc>
        <w:tc>
          <w:tcPr>
            <w:tcW w:w="1074" w:type="dxa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15"/>
            </w:pPr>
          </w:p>
        </w:tc>
        <w:tc>
          <w:tcPr>
            <w:tcW w:w="1073" w:type="dxa"/>
            <w:vAlign w:val="center"/>
          </w:tcPr>
          <w:p>
            <w:pPr>
              <w:pStyle w:val="15"/>
            </w:pPr>
          </w:p>
        </w:tc>
        <w:tc>
          <w:tcPr>
            <w:tcW w:w="1073" w:type="dxa"/>
          </w:tcPr>
          <w:p>
            <w:pPr>
              <w:pStyle w:val="14"/>
              <w:rPr>
                <w:rFonts w:hint="eastAsia"/>
                <w:szCs w:val="16"/>
              </w:rPr>
            </w:pPr>
            <w:r>
              <w:rPr>
                <w:rFonts w:hint="eastAsia"/>
              </w:rPr>
              <w:t>√</w:t>
            </w:r>
          </w:p>
        </w:tc>
      </w:tr>
      <w:tr>
        <w:trPr>
          <w:trHeight w:val="340" w:hRule="atLeast"/>
          <w:jc w:val="center"/>
        </w:trPr>
        <w:tc>
          <w:tcPr>
            <w:tcW w:w="1833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 w:asciiTheme="minorEastAsia" w:hAnsiTheme="minorEastAsia" w:eastAsiaTheme="minorEastAsia" w:cstheme="minorEastAsia"/>
              </w:rPr>
              <w:t>综合创作</w:t>
            </w: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</w:p>
        </w:tc>
        <w:tc>
          <w:tcPr>
            <w:tcW w:w="1073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>
              <w:bottom w:val="single" w:color="auto" w:sz="12" w:space="0"/>
            </w:tcBorders>
          </w:tcPr>
          <w:p>
            <w:pPr>
              <w:pStyle w:val="14"/>
              <w:rPr>
                <w:rFonts w:hint="eastAsia"/>
                <w:szCs w:val="16"/>
              </w:rPr>
            </w:pPr>
            <w:r>
              <w:rPr>
                <w:rFonts w:hint="eastAsia"/>
              </w:rPr>
              <w:t>√</w:t>
            </w:r>
          </w:p>
        </w:tc>
      </w:tr>
    </w:tbl>
    <w:p>
      <w:pPr>
        <w:pStyle w:val="18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调研报告</w:t>
            </w:r>
          </w:p>
        </w:tc>
        <w:tc>
          <w:tcPr>
            <w:tcW w:w="269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讲述教学法、多媒体教学法、合作学习</w:t>
            </w:r>
          </w:p>
        </w:tc>
        <w:tc>
          <w:tcPr>
            <w:tcW w:w="169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调研报告</w:t>
            </w:r>
          </w:p>
        </w:tc>
        <w:tc>
          <w:tcPr>
            <w:tcW w:w="70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11</w:t>
            </w:r>
          </w:p>
        </w:tc>
      </w:tr>
      <w:tr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lang w:eastAsia="zh-Hans"/>
              </w:rPr>
              <w:t>作品设计</w:t>
            </w:r>
          </w:p>
        </w:tc>
        <w:tc>
          <w:tcPr>
            <w:tcW w:w="269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讲述教学法、创新教学法、问题导向学习</w:t>
            </w:r>
          </w:p>
        </w:tc>
        <w:tc>
          <w:tcPr>
            <w:tcW w:w="169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作品设计</w:t>
            </w:r>
          </w:p>
        </w:tc>
        <w:tc>
          <w:tcPr>
            <w:tcW w:w="70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lang w:eastAsia="zh-Hans"/>
              </w:rPr>
              <w:t>三维建模</w:t>
            </w:r>
          </w:p>
        </w:tc>
        <w:tc>
          <w:tcPr>
            <w:tcW w:w="269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讲述教学法、合作学习、专题学习</w:t>
            </w:r>
          </w:p>
        </w:tc>
        <w:tc>
          <w:tcPr>
            <w:tcW w:w="169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方案设计</w:t>
            </w:r>
          </w:p>
        </w:tc>
        <w:tc>
          <w:tcPr>
            <w:tcW w:w="70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综合创作</w:t>
            </w:r>
          </w:p>
        </w:tc>
        <w:tc>
          <w:tcPr>
            <w:tcW w:w="269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多媒体教学法、合作学习、专题学习</w:t>
            </w:r>
          </w:p>
        </w:tc>
        <w:tc>
          <w:tcPr>
            <w:tcW w:w="169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作品设计</w:t>
            </w:r>
          </w:p>
        </w:tc>
        <w:tc>
          <w:tcPr>
            <w:tcW w:w="70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18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30</w:t>
            </w:r>
          </w:p>
        </w:tc>
        <w:tc>
          <w:tcPr>
            <w:tcW w:w="70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48</w:t>
            </w:r>
          </w:p>
        </w:tc>
      </w:tr>
    </w:tbl>
    <w:p>
      <w:pPr>
        <w:pStyle w:val="18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 w:asciiTheme="minorEastAsia" w:hAnsiTheme="minorEastAsia" w:eastAsiaTheme="minorEastAsia" w:cstheme="minorEastAsia"/>
              </w:rPr>
              <w:t>调研报告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left"/>
            </w:pPr>
            <w:r>
              <w:rPr>
                <w:rFonts w:hint="eastAsia" w:asciiTheme="minorEastAsia" w:hAnsiTheme="minorEastAsia" w:eastAsiaTheme="minorEastAsia" w:cstheme="minorEastAsia"/>
              </w:rPr>
              <w:t>学生将进行对虚拟交互文创产品领域的调研，探讨市场需求、发展趋势和竞争状况，为后续作品设计提供理论支持。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hint="eastAsia" w:eastAsia="宋体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6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  <w:szCs w:val="16"/>
              </w:rPr>
              <w:t>④</w:t>
            </w:r>
          </w:p>
        </w:tc>
      </w:tr>
      <w:tr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 w:asciiTheme="minorEastAsia" w:hAnsiTheme="minorEastAsia" w:eastAsiaTheme="minorEastAsia"/>
                <w:lang w:eastAsia="zh-Hans"/>
              </w:rPr>
              <w:t>作品设计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left"/>
            </w:pPr>
            <w:r>
              <w:rPr>
                <w:rFonts w:hint="eastAsia" w:asciiTheme="minorEastAsia" w:hAnsiTheme="minorEastAsia" w:eastAsiaTheme="minorEastAsia"/>
              </w:rPr>
              <w:t>学生将运用调研成果，创作虚拟交互文创产品的初步设计方案，结合艺术与科技，体现创新与实用性。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hint="eastAsia" w:eastAsia="宋体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  <w:szCs w:val="16"/>
              </w:rPr>
              <w:t>④</w:t>
            </w:r>
          </w:p>
        </w:tc>
      </w:tr>
      <w:tr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 w:asciiTheme="minorEastAsia" w:hAnsiTheme="minorEastAsia" w:eastAsiaTheme="minorEastAsia"/>
                <w:bCs/>
                <w:lang w:eastAsia="zh-Hans"/>
              </w:rPr>
              <w:t>三维建模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jc w:val="left"/>
            </w:pPr>
            <w:r>
              <w:rPr>
                <w:rFonts w:hint="eastAsia" w:asciiTheme="minorEastAsia" w:hAnsiTheme="minorEastAsia" w:eastAsiaTheme="minorEastAsia" w:cstheme="minorEastAsia"/>
              </w:rPr>
              <w:t>学生将利用三维建模工具，将作品设计转化为虚拟形态，注重技术细节和美学表现。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hint="eastAsia" w:eastAsia="宋体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  <w:szCs w:val="16"/>
              </w:rPr>
              <w:t>④</w:t>
            </w:r>
          </w:p>
        </w:tc>
      </w:tr>
      <w:tr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4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 w:asciiTheme="minorEastAsia" w:hAnsiTheme="minorEastAsia" w:eastAsiaTheme="minorEastAsia" w:cstheme="minorEastAsia"/>
              </w:rPr>
              <w:t>综合创作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left"/>
            </w:pPr>
            <w:r>
              <w:rPr>
                <w:rFonts w:hint="eastAsia" w:asciiTheme="minorEastAsia" w:hAnsiTheme="minorEastAsia" w:eastAsiaTheme="minorEastAsia" w:cstheme="minorEastAsia"/>
              </w:rPr>
              <w:t>学生将综合前期工作，完成虚拟交互文创产品的创作，强调创新、技术整合和实践应用。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hint="eastAsia" w:eastAsia="宋体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  <w:szCs w:val="16"/>
              </w:rPr>
              <w:t>④</w:t>
            </w:r>
          </w:p>
        </w:tc>
      </w:tr>
    </w:tbl>
    <w:p>
      <w:pPr>
        <w:pStyle w:val="14"/>
        <w:rPr>
          <w:rFonts w:hint="eastAsia"/>
        </w:rPr>
      </w:pPr>
    </w:p>
    <w:p>
      <w:pPr>
        <w:pStyle w:val="17"/>
        <w:spacing w:before="326" w:beforeLines="100" w:line="360" w:lineRule="auto"/>
        <w:rPr>
          <w:rFonts w:ascii="黑体" w:hAnsi="宋体"/>
          <w:highlight w:val="green"/>
        </w:rPr>
      </w:pPr>
      <w:bookmarkStart w:id="2" w:name="OLE_LINK4"/>
      <w:bookmarkStart w:id="3" w:name="OLE_LINK3"/>
      <w:r>
        <w:rPr>
          <w:rFonts w:hint="eastAsia" w:ascii="黑体" w:hAnsi="宋体"/>
        </w:rPr>
        <w:t>四、课程思政教学设计</w:t>
      </w:r>
      <w:bookmarkStart w:id="4" w:name="_GoBack"/>
      <w:bookmarkEnd w:id="4"/>
    </w:p>
    <w:tbl>
      <w:tblPr>
        <w:tblStyle w:val="9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c>
          <w:tcPr>
            <w:tcW w:w="8276" w:type="dxa"/>
          </w:tcPr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这门课程通过多方面的教学设计和内容安排，促进学生在学习虚拟交互文创产品的同时，培养文化自信和红色精神。首先，课程注重对中国传统文化和现代文化的融合与创新，倡导文化自信，鼓励学生在作品设计中融入中国传统文化元素，传承中华优秀传统文化。其次，引入红色竞赛元素，通过红色主题的设计比赛、红色创意作品展示等活动，激发学生对革命历史和优秀传统文化的热爱与传承，培养爱国情怀和社会责任感。同时，红色竞赛的开展也有助于学生全面了解党的光辉历程，弘扬红色精神，培养勇于创新、敢为人先的革命品质。此外，课程设计中还将加入相关的思政教育内容，通过红色教育基地参观、党史学习等形式，引导学生树立正确的人生观和价值观，提升综合素质。通过这些方式，学生将在学术和职业道德方面得到全面提升。</w:t>
            </w:r>
          </w:p>
          <w:p>
            <w:pPr>
              <w:pStyle w:val="15"/>
              <w:widowControl w:val="0"/>
              <w:jc w:val="left"/>
              <w:rPr>
                <w:rFonts w:cs="仿宋"/>
                <w:bCs/>
              </w:rPr>
            </w:pPr>
            <w:r>
              <w:rPr>
                <w:rFonts w:hint="eastAsia" w:ascii="宋体" w:hAnsi="宋体"/>
                <w:bCs/>
              </w:rPr>
              <w:t>总之，通过将课程内容与文化自信、红色竞赛等元素相结合，这门课程不仅注重专业知识和技能的传授，更注重培养学生的社会责任感、创新精神和国家意识，使学生在学习与实践中获得全面发展，成为德智体美劳全面发展的社会主义建设者和接班人。</w:t>
            </w:r>
          </w:p>
        </w:tc>
      </w:tr>
      <w:bookmarkEnd w:id="2"/>
      <w:bookmarkEnd w:id="3"/>
    </w:tbl>
    <w:p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694"/>
        <w:gridCol w:w="2249"/>
        <w:gridCol w:w="490"/>
        <w:gridCol w:w="490"/>
        <w:gridCol w:w="486"/>
        <w:gridCol w:w="486"/>
        <w:gridCol w:w="490"/>
        <w:gridCol w:w="490"/>
        <w:gridCol w:w="486"/>
        <w:gridCol w:w="494"/>
        <w:gridCol w:w="606"/>
      </w:tblGrid>
      <w:tr>
        <w:trPr>
          <w:trHeight w:val="454" w:hRule="atLeast"/>
        </w:trPr>
        <w:tc>
          <w:tcPr>
            <w:tcW w:w="815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694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249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7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912" w:type="dxa"/>
            <w:gridSpan w:val="8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60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rPr>
          <w:trHeight w:val="454" w:hRule="atLeast"/>
        </w:trPr>
        <w:tc>
          <w:tcPr>
            <w:tcW w:w="815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94" w:type="dxa"/>
            <w:vMerge w:val="continue"/>
          </w:tcPr>
          <w:p>
            <w:pPr>
              <w:pStyle w:val="17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249" w:type="dxa"/>
            <w:vMerge w:val="continue"/>
            <w:tcBorders>
              <w:right w:val="double" w:color="auto" w:sz="4" w:space="0"/>
            </w:tcBorders>
          </w:tcPr>
          <w:p>
            <w:pPr>
              <w:pStyle w:val="17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490" w:type="dxa"/>
            <w:tcBorders>
              <w:left w:val="double" w:color="auto" w:sz="4" w:space="0"/>
            </w:tcBorders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490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486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490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490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486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7</w:t>
            </w:r>
          </w:p>
        </w:tc>
        <w:tc>
          <w:tcPr>
            <w:tcW w:w="494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8</w:t>
            </w:r>
          </w:p>
        </w:tc>
        <w:tc>
          <w:tcPr>
            <w:tcW w:w="606" w:type="dxa"/>
            <w:tcBorders>
              <w:right w:val="single" w:color="auto" w:sz="12" w:space="0"/>
            </w:tcBorders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rPr>
          <w:trHeight w:val="454" w:hRule="atLeast"/>
        </w:trPr>
        <w:tc>
          <w:tcPr>
            <w:tcW w:w="815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94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2249" w:type="dxa"/>
            <w:tcBorders>
              <w:right w:val="double" w:color="auto" w:sz="4" w:space="0"/>
            </w:tcBorders>
          </w:tcPr>
          <w:p>
            <w:pPr>
              <w:pStyle w:val="15"/>
              <w:widowControl w:val="0"/>
            </w:pPr>
            <w:r>
              <w:rPr>
                <w:rFonts w:hint="eastAsia" w:cs="仿宋"/>
                <w:bCs/>
              </w:rPr>
              <w:t>调研报告</w:t>
            </w:r>
          </w:p>
        </w:tc>
        <w:tc>
          <w:tcPr>
            <w:tcW w:w="490" w:type="dxa"/>
            <w:tcBorders>
              <w:left w:val="doub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490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486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86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0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490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86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4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06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100</w:t>
            </w:r>
          </w:p>
        </w:tc>
      </w:tr>
      <w:tr>
        <w:trPr>
          <w:trHeight w:val="454" w:hRule="atLeast"/>
        </w:trPr>
        <w:tc>
          <w:tcPr>
            <w:tcW w:w="815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94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2249" w:type="dxa"/>
            <w:tcBorders>
              <w:right w:val="double" w:color="auto" w:sz="4" w:space="0"/>
            </w:tcBorders>
          </w:tcPr>
          <w:p>
            <w:pPr>
              <w:pStyle w:val="15"/>
              <w:widowControl w:val="0"/>
            </w:pPr>
            <w:r>
              <w:rPr>
                <w:rFonts w:hint="eastAsia" w:cs="仿宋"/>
                <w:bCs/>
              </w:rPr>
              <w:t>作品设计</w:t>
            </w:r>
          </w:p>
        </w:tc>
        <w:tc>
          <w:tcPr>
            <w:tcW w:w="490" w:type="dxa"/>
            <w:tcBorders>
              <w:left w:val="doub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490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486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486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0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0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486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4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06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100</w:t>
            </w:r>
          </w:p>
        </w:tc>
      </w:tr>
      <w:tr>
        <w:trPr>
          <w:trHeight w:val="454" w:hRule="atLeast"/>
        </w:trPr>
        <w:tc>
          <w:tcPr>
            <w:tcW w:w="815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94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2249" w:type="dxa"/>
            <w:tcBorders>
              <w:right w:val="double" w:color="auto" w:sz="4" w:space="0"/>
            </w:tcBorders>
          </w:tcPr>
          <w:p>
            <w:pPr>
              <w:pStyle w:val="15"/>
              <w:widowControl w:val="0"/>
            </w:pPr>
            <w:r>
              <w:rPr>
                <w:rFonts w:hint="eastAsia" w:cs="仿宋"/>
                <w:bCs/>
              </w:rPr>
              <w:t>三维建模</w:t>
            </w:r>
          </w:p>
        </w:tc>
        <w:tc>
          <w:tcPr>
            <w:tcW w:w="490" w:type="dxa"/>
            <w:tcBorders>
              <w:left w:val="doub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490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86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486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0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0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486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4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06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100</w:t>
            </w:r>
          </w:p>
        </w:tc>
      </w:tr>
      <w:tr>
        <w:trPr>
          <w:trHeight w:val="454" w:hRule="atLeast"/>
        </w:trPr>
        <w:tc>
          <w:tcPr>
            <w:tcW w:w="81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94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2249" w:type="dxa"/>
            <w:tcBorders>
              <w:bottom w:val="single" w:color="auto" w:sz="4" w:space="0"/>
              <w:right w:val="double" w:color="auto" w:sz="4" w:space="0"/>
            </w:tcBorders>
          </w:tcPr>
          <w:p>
            <w:pPr>
              <w:pStyle w:val="15"/>
              <w:widowControl w:val="0"/>
            </w:pPr>
            <w:r>
              <w:rPr>
                <w:rFonts w:hint="eastAsia" w:ascii="宋体" w:hAnsi="宋体"/>
                <w:bCs/>
              </w:rPr>
              <w:t>综合创作</w:t>
            </w:r>
          </w:p>
        </w:tc>
        <w:tc>
          <w:tcPr>
            <w:tcW w:w="490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490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486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86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490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490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486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4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100</w:t>
            </w:r>
          </w:p>
        </w:tc>
      </w:tr>
      <w:tr>
        <w:trPr>
          <w:trHeight w:val="454" w:hRule="atLeast"/>
        </w:trPr>
        <w:tc>
          <w:tcPr>
            <w:tcW w:w="81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94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2249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0" w:type="dxa"/>
            <w:tcBorders>
              <w:left w:val="double" w:color="auto" w:sz="4" w:space="0"/>
              <w:bottom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0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86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86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0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0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86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494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0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</w:p>
        </w:tc>
      </w:tr>
    </w:tbl>
    <w:p>
      <w:pPr>
        <w:pStyle w:val="18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9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>
        <w:trPr>
          <w:trHeight w:val="283" w:hRule="atLeast"/>
        </w:trPr>
        <w:tc>
          <w:tcPr>
            <w:tcW w:w="613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7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>
            <w:pPr>
              <w:pStyle w:val="17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>
            <w:pPr>
              <w:pStyle w:val="15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15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15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7"/>
              <w:widowControl/>
              <w:shd w:val="clear" w:color="auto" w:fill="FFFFFF"/>
              <w:jc w:val="both"/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9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</w:p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</w:p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</w:p>
          <w:p>
            <w:pPr>
              <w:pStyle w:val="15"/>
              <w:widowControl w:val="0"/>
              <w:jc w:val="left"/>
              <w:rPr>
                <w:rFonts w:ascii="黑体"/>
              </w:rPr>
            </w:pPr>
          </w:p>
        </w:tc>
      </w:tr>
    </w:tbl>
    <w:p>
      <w:pPr>
        <w:pStyle w:val="18"/>
        <w:spacing w:before="326" w:beforeLines="100" w:after="163"/>
        <w:rPr>
          <w:rFonts w:ascii="黑体" w:hAnsi="宋体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60288;mso-width-relative:page;mso-height-relative:page;" fillcolor="#FFFFFF" filled="t" stroked="f" coordsize="21600,21600" o:gfxdata="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+4ZKZ1AAAAAkBAAAPAAAAAAAAAAEAIAAAADgAAABkcnMvZG93bnJl&#10;di54bWxQSwECFAAUAAAACACHTuJAE483810CAAClBAAADgAAAAAAAAABACAAAAA5AQAAZHJzL2Uy&#10;b0RvYy54bWxQSwUGAAAAAAYABgBZAQAACAYAAAAA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jODk0YTQ2N2FhN2FlODlmZWFlYmJkNTFmMDA1ZTUifQ=="/>
  </w:docVars>
  <w:rsids>
    <w:rsidRoot w:val="00B7651F"/>
    <w:rsid w:val="00010438"/>
    <w:rsid w:val="00016434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B2796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538E3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14E0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38B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3597C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81987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0CE8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35D5E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2852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8DB000C"/>
    <w:rsid w:val="0A8128A6"/>
    <w:rsid w:val="0BF32A1B"/>
    <w:rsid w:val="0BFF7109"/>
    <w:rsid w:val="10BD2C22"/>
    <w:rsid w:val="22987C80"/>
    <w:rsid w:val="24192CCC"/>
    <w:rsid w:val="39A66CD4"/>
    <w:rsid w:val="3CC7F68B"/>
    <w:rsid w:val="3CD52CE1"/>
    <w:rsid w:val="3DAA0E08"/>
    <w:rsid w:val="3FBF2DD9"/>
    <w:rsid w:val="410F2E6A"/>
    <w:rsid w:val="4430136C"/>
    <w:rsid w:val="4AB0382B"/>
    <w:rsid w:val="4DCF7288"/>
    <w:rsid w:val="569868B5"/>
    <w:rsid w:val="611F6817"/>
    <w:rsid w:val="66CA1754"/>
    <w:rsid w:val="6F1E65D4"/>
    <w:rsid w:val="6F266C86"/>
    <w:rsid w:val="6F5042C2"/>
    <w:rsid w:val="74316312"/>
    <w:rsid w:val="780F13C8"/>
    <w:rsid w:val="7B57EA95"/>
    <w:rsid w:val="7C385448"/>
    <w:rsid w:val="7CB3663D"/>
    <w:rsid w:val="A7DFC23A"/>
    <w:rsid w:val="B4F9DECE"/>
    <w:rsid w:val="BEBEC9AA"/>
    <w:rsid w:val="CEF3958E"/>
    <w:rsid w:val="D77F8B2F"/>
    <w:rsid w:val="DBADEA51"/>
    <w:rsid w:val="F7F8BB2E"/>
    <w:rsid w:val="FB15B41D"/>
    <w:rsid w:val="FBC857AB"/>
    <w:rsid w:val="FFDDAF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Autospacing="1" w:afterAutospacing="1"/>
      <w:outlineLvl w:val="2"/>
    </w:pPr>
    <w:rPr>
      <w:rFonts w:hint="eastAsia" w:cs="Times New Roman"/>
      <w:b/>
      <w:bCs/>
      <w:sz w:val="27"/>
      <w:szCs w:val="27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6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semiHidden/>
    <w:qFormat/>
    <w:uiPriority w:val="99"/>
    <w:rPr>
      <w:sz w:val="18"/>
      <w:szCs w:val="18"/>
    </w:rPr>
  </w:style>
  <w:style w:type="paragraph" w:customStyle="1" w:styleId="14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5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8">
    <w:name w:val="二级标题DG"/>
    <w:basedOn w:val="7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9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20">
    <w:name w:val="标题 1 字符"/>
    <w:basedOn w:val="10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1">
    <w:name w:val="批注文字 字符"/>
    <w:basedOn w:val="10"/>
    <w:link w:val="4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2">
    <w:name w:val="editor-text-nod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3808</Words>
  <Characters>4054</Characters>
  <Lines>32</Lines>
  <Paragraphs>9</Paragraphs>
  <TotalTime>2</TotalTime>
  <ScaleCrop>false</ScaleCrop>
  <LinksUpToDate>false</LinksUpToDate>
  <CharactersWithSpaces>4114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2023-10-24T17:09:00Z</dcterms:created>
  <dc:creator>juvg</dc:creator>
  <cp:lastModifiedBy>半扎</cp:lastModifiedBy>
  <cp:lastPrinted>2023-09-19T15:48:00Z</cp:lastPrinted>
  <dcterms:modified xsi:type="dcterms:W3CDTF">2024-08-10T20:37:02Z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F0D1124FA9A9485E5F5EB7665CD6640C_43</vt:lpwstr>
  </property>
</Properties>
</file>