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5BC2B"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bookmarkStart w:id="6" w:name="_GoBack"/>
      <w:bookmarkEnd w:id="6"/>
      <w:r>
        <w:rPr>
          <w:rFonts w:hint="eastAsia" w:ascii="黑体" w:hAnsi="黑体" w:eastAsia="黑体"/>
          <w:bCs/>
          <w:sz w:val="32"/>
          <w:szCs w:val="32"/>
        </w:rPr>
        <w:t>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理论课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 w14:paraId="5BA40C8D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4F20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4239AEC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6BFA2B0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CMF应用与设计</w:t>
            </w:r>
          </w:p>
        </w:tc>
      </w:tr>
      <w:tr w14:paraId="5507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872842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22D6444E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CMF Application and Design</w:t>
            </w:r>
          </w:p>
        </w:tc>
      </w:tr>
      <w:tr w14:paraId="6EFF3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95065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0D415F40">
            <w:pPr>
              <w:widowControl w:val="0"/>
              <w:jc w:val="center"/>
              <w:rPr>
                <w:rFonts w:hint="default" w:ascii="黑体" w:hAnsi="黑体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2040460</w:t>
            </w:r>
          </w:p>
        </w:tc>
        <w:tc>
          <w:tcPr>
            <w:tcW w:w="2126" w:type="dxa"/>
            <w:gridSpan w:val="2"/>
            <w:vAlign w:val="center"/>
          </w:tcPr>
          <w:p w14:paraId="16CFD70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079F5CF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47E5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02E67E5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716206F5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 w14:paraId="1815D7CF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C41130F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0A813337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358594A3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 w14:paraId="112EF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48B173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EF579E8">
            <w:pPr>
              <w:widowControl w:val="0"/>
              <w:jc w:val="center"/>
              <w:rPr>
                <w:rFonts w:hint="default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6F79239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A6ADD53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艺术与科技 大二</w:t>
            </w:r>
          </w:p>
        </w:tc>
      </w:tr>
      <w:tr w14:paraId="5A98B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BE8BC0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01878349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39DC7869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1319B952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D1C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2025E5D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38098962">
            <w:pPr>
              <w:widowControl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13" w:type="dxa"/>
            <w:gridSpan w:val="2"/>
            <w:vAlign w:val="center"/>
          </w:tcPr>
          <w:p w14:paraId="5A0BFD5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2BD91F8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60016E4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4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4EC31F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17D1985">
            <w:pPr>
              <w:pStyle w:val="14"/>
              <w:widowControl w:val="0"/>
              <w:jc w:val="both"/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设计元素与表达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626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 xml:space="preserve">（3）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三维建模软件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671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zh-TW" w:eastAsia="zh-TW" w:bidi="ar-SA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</w:p>
        </w:tc>
      </w:tr>
      <w:tr w14:paraId="1ED2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30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A9B6C8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2178667">
            <w:pPr>
              <w:pStyle w:val="14"/>
              <w:widowControl w:val="0"/>
              <w:ind w:firstLine="420" w:firstLineChars="200"/>
              <w:jc w:val="both"/>
              <w:rPr>
                <w:rFonts w:hint="eastAsia" w:eastAsia="Malgun Gothic"/>
                <w:lang w:eastAsia="ko-KR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本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课程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zh-Hans" w:eastAsia="zh-Hans"/>
              </w:rPr>
              <w:t>是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艺术与科技专业专业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zh-Hans" w:eastAsia="zh-Hans"/>
              </w:rPr>
              <w:t>必修课程，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是基于对色彩、材料、表面处理工艺的认知，对产品外观形态元素进行再设计的过程,是现在企业提升内在品牌价值与外在产品形象特征的重要手段。学生将深入理解色彩的基本理论，学会如何选择和运用色彩来增强产品的视觉吸引力和品牌识别度。学习各种材料的特性、质感和可行性，并了解如何根据产品的功能和市场定位选择合适的材料。理解如何通过各种工艺来提升产品的质感和视觉效果，进而影响用户的触觉体验和情感联结。通过这门课程，学生不仅可以提高他们的设计能力，还能增强他们对市场需求和品牌战略的理解，为未来的职业发展打下坚实的基础。</w:t>
            </w:r>
          </w:p>
        </w:tc>
      </w:tr>
      <w:tr w14:paraId="3191B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285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2EC0E9C1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31B816A1">
            <w:pPr>
              <w:pStyle w:val="14"/>
              <w:widowControl w:val="0"/>
              <w:jc w:val="both"/>
            </w:pPr>
            <w:r>
              <w:rPr>
                <w:rFonts w:hint="eastAsia" w:ascii="宋体" w:hAnsi="宋体" w:cs="宋体"/>
                <w:sz w:val="21"/>
                <w:szCs w:val="21"/>
              </w:rPr>
              <w:t>本课程</w:t>
            </w:r>
            <w:r>
              <w:rPr>
                <w:rFonts w:ascii="宋体" w:hAnsi="宋体" w:cs="宋体"/>
                <w:sz w:val="21"/>
                <w:szCs w:val="21"/>
              </w:rPr>
              <w:t>是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本专业选修课</w:t>
            </w:r>
            <w:r>
              <w:rPr>
                <w:rFonts w:ascii="宋体" w:hAnsi="宋体" w:cs="宋体"/>
                <w:sz w:val="21"/>
                <w:szCs w:val="21"/>
              </w:rPr>
              <w:t>，培养</w:t>
            </w:r>
            <w:r>
              <w:rPr>
                <w:rFonts w:hint="eastAsia" w:ascii="宋体" w:hAnsi="宋体" w:cs="宋体"/>
                <w:sz w:val="21"/>
                <w:szCs w:val="21"/>
              </w:rPr>
              <w:t>和提高</w:t>
            </w:r>
            <w:r>
              <w:rPr>
                <w:rFonts w:ascii="宋体" w:hAnsi="宋体" w:cs="宋体"/>
                <w:sz w:val="21"/>
                <w:szCs w:val="21"/>
              </w:rPr>
              <w:t>学生</w:t>
            </w:r>
            <w:r>
              <w:rPr>
                <w:rFonts w:hint="eastAsia" w:ascii="宋体" w:hAnsi="宋体" w:cs="宋体"/>
                <w:sz w:val="21"/>
                <w:szCs w:val="21"/>
              </w:rPr>
              <w:t>文化素养和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创新</w:t>
            </w:r>
            <w:r>
              <w:rPr>
                <w:rFonts w:hint="eastAsia" w:ascii="宋体" w:hAnsi="宋体" w:cs="宋体"/>
                <w:sz w:val="21"/>
                <w:szCs w:val="21"/>
              </w:rPr>
              <w:t>设计能力</w:t>
            </w:r>
            <w:r>
              <w:rPr>
                <w:rFonts w:ascii="宋体" w:hAnsi="宋体" w:cs="宋体"/>
                <w:sz w:val="21"/>
                <w:szCs w:val="21"/>
              </w:rPr>
              <w:t>，建议在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第三第四学期</w:t>
            </w:r>
            <w:r>
              <w:rPr>
                <w:rFonts w:ascii="宋体" w:hAnsi="宋体" w:cs="宋体"/>
                <w:sz w:val="21"/>
                <w:szCs w:val="21"/>
              </w:rPr>
              <w:t>授课。</w:t>
            </w:r>
            <w:r>
              <w:rPr>
                <w:rFonts w:hint="eastAsia" w:ascii="宋体" w:hAnsi="宋体" w:cs="宋体"/>
                <w:sz w:val="21"/>
                <w:szCs w:val="21"/>
              </w:rPr>
              <w:t>要求有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设计基础能力</w:t>
            </w:r>
            <w:r>
              <w:rPr>
                <w:rFonts w:hint="eastAsia" w:ascii="宋体" w:hAnsi="宋体" w:cs="宋体"/>
                <w:sz w:val="21"/>
                <w:szCs w:val="21"/>
              </w:rPr>
              <w:t>，并能熟练应用和操作电脑软件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。</w:t>
            </w:r>
          </w:p>
        </w:tc>
      </w:tr>
      <w:tr w14:paraId="7853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76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7E043C1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16083497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590550" cy="262255"/>
                  <wp:effectExtent l="0" t="0" r="6350" b="3810"/>
                  <wp:docPr id="1" name="图片 1" descr="石福霞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石福霞签名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685" t="9400" r="3685" b="8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6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83AD0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3CDD22B2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2024.8</w:t>
            </w:r>
          </w:p>
        </w:tc>
      </w:tr>
      <w:tr w14:paraId="047E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3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2269A8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05B57A9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387350" cy="839470"/>
                  <wp:effectExtent l="0" t="0" r="11430" b="6350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2841" t="1000" r="10112" b="150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87350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0FEB6791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4035E840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  <w:tr w14:paraId="5F13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9A2DE2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1A38627B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792480" cy="363220"/>
                  <wp:effectExtent l="0" t="0" r="7620" b="5080"/>
                  <wp:docPr id="2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5CFE2F5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FE93CEC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2024.9</w:t>
            </w:r>
          </w:p>
        </w:tc>
      </w:tr>
    </w:tbl>
    <w:p w14:paraId="2CAE3351">
      <w:pPr>
        <w:spacing w:line="100" w:lineRule="exact"/>
        <w:rPr>
          <w:rFonts w:ascii="Arial" w:hAnsi="Arial" w:eastAsia="黑体"/>
        </w:rPr>
      </w:pPr>
      <w:r>
        <w:br w:type="page"/>
      </w:r>
    </w:p>
    <w:p w14:paraId="742A099A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1C2057DE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6DA3F0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45DC87D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E8527C8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27734EEA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0927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4AEED44D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C786A3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55453F17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掌握色彩的基本理论与色彩心理学，了解常见材料的特性、优缺点及应用场景，熟悉各种表面处理技术的原理及其在产品设计中的应用。</w:t>
            </w:r>
          </w:p>
        </w:tc>
      </w:tr>
      <w:tr w14:paraId="4B88F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BFC03B2">
            <w:pPr>
              <w:pStyle w:val="14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455D41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7CE5B93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了解CMF设计如何影响品牌价值和产品形象，掌握CMF设计的最新趋势，学习如何分析市场需求并将其应用于设计实践中。</w:t>
            </w:r>
          </w:p>
        </w:tc>
      </w:tr>
      <w:tr w14:paraId="286CE6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00BD9BF1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2BDDCE6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6B2209CB">
            <w:pPr>
              <w:pStyle w:val="14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学会使用专业工具和语言，</w:t>
            </w:r>
            <w:r>
              <w:rPr>
                <w:rFonts w:hint="eastAsia" w:ascii="宋体" w:hAnsi="宋体"/>
                <w:bCs/>
                <w:lang w:val="en-US" w:eastAsia="zh-CN"/>
              </w:rPr>
              <w:t>能够将</w:t>
            </w:r>
            <w:r>
              <w:rPr>
                <w:rFonts w:hint="eastAsia" w:ascii="宋体" w:hAnsi="宋体"/>
                <w:bCs/>
              </w:rPr>
              <w:t>设计理念、CMF方案</w:t>
            </w:r>
            <w:r>
              <w:rPr>
                <w:rFonts w:hint="eastAsia" w:ascii="宋体" w:hAnsi="宋体"/>
                <w:bCs/>
                <w:lang w:val="en-US" w:eastAsia="zh-CN"/>
              </w:rPr>
              <w:t>清晰有效地分工与沟通。</w:t>
            </w:r>
          </w:p>
        </w:tc>
      </w:tr>
      <w:tr w14:paraId="0F72AA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24579A21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AD7786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03CE53A7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理解并掌握可持续设计的原则和方法，将环保理念融入产品设计中。</w:t>
            </w:r>
          </w:p>
        </w:tc>
      </w:tr>
      <w:tr w14:paraId="1CCF8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38" w:hRule="atLeast"/>
          <w:jc w:val="center"/>
        </w:trPr>
        <w:tc>
          <w:tcPr>
            <w:tcW w:w="1235" w:type="dxa"/>
            <w:vAlign w:val="center"/>
          </w:tcPr>
          <w:p w14:paraId="55E6A58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33ADE561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77AAEE4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</w:pPr>
          </w:p>
          <w:p w14:paraId="7DA4F14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  <w:p w14:paraId="2EAD42DE">
            <w:pPr>
              <w:pStyle w:val="14"/>
              <w:jc w:val="left"/>
              <w:rPr>
                <w:rFonts w:hint="eastAsia" w:ascii="宋体" w:hAnsi="宋体" w:eastAsia="Malgun Gothic"/>
                <w:bCs/>
                <w:lang w:eastAsia="ko-KR"/>
              </w:rPr>
            </w:pPr>
          </w:p>
        </w:tc>
        <w:tc>
          <w:tcPr>
            <w:tcW w:w="6459" w:type="dxa"/>
            <w:shd w:val="clear" w:color="auto" w:fill="auto"/>
            <w:vAlign w:val="center"/>
          </w:tcPr>
          <w:p w14:paraId="65E4B0D3">
            <w:pPr>
              <w:pStyle w:val="14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能够在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不断尝试和创新中建立自信，增强自我效能感，学会如何应对设计过程中遇到的挑战和压力。</w:t>
            </w:r>
          </w:p>
        </w:tc>
      </w:tr>
    </w:tbl>
    <w:p w14:paraId="581BD2F1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D7DB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146D0F6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lang w:val="en-US" w:eastAsia="zh-CN"/>
              </w:rPr>
              <w:t>LO1品德修养：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14B00605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/>
                <w:bCs/>
                <w:sz w:val="21"/>
                <w:szCs w:val="21"/>
              </w:rPr>
              <w:t>⑤</w:t>
            </w:r>
            <w:r>
              <w:rPr>
                <w:bCs/>
                <w:sz w:val="21"/>
                <w:szCs w:val="21"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14:paraId="49A08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C5A43F3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 w:bidi="ar-SA"/>
              </w:rPr>
              <w:t>LO2专业能力：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具有人文科学素养，具备从事科技文创设计服务或艺术与科技专业的理论知识、实践能力。</w:t>
            </w:r>
          </w:p>
          <w:p w14:paraId="53B029F4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④具有工艺与技术整合能力。掌握工艺与技术的基础知识，理解工艺与技术的系统原理，具有将加工工艺与制造技术恰当应用到设计中的能力。</w:t>
            </w:r>
          </w:p>
          <w:p w14:paraId="56A6E9C1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color="000000"/>
                <w:lang w:val="en-US" w:eastAsia="zh-CN" w:bidi="ar-SA"/>
              </w:rPr>
              <w:t>⑤具备创新与实践能力。拥有新媒介、新科技和新材料的跨学科融合创新能力，能够在设计项目中实践和应用；具有与产业链项目端合作实践的能力。</w:t>
            </w:r>
          </w:p>
        </w:tc>
      </w:tr>
      <w:tr w14:paraId="0EADC6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9B11A17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 w:bidi="ar-SA"/>
              </w:rPr>
              <w:t>LO3表达沟通</w:t>
            </w: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  <w:t>：理解他人的观点，尊重他人的价值观，能在不同场合用书面或口头形式进行有效沟通。</w:t>
            </w:r>
          </w:p>
          <w:p w14:paraId="3BA2864F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  <w:t>①倾听他人意见、尊重他人观点、分析他人需求。</w:t>
            </w:r>
          </w:p>
        </w:tc>
      </w:tr>
      <w:tr w14:paraId="36894A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3DD0246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 w:bidi="ar-SA"/>
              </w:rPr>
              <w:t>LO5健康发展：</w:t>
            </w: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  <w:t>懂得审美、热爱劳动、为人热忱、身心健康、耐挫折，具有可持续发展的能力。</w:t>
            </w:r>
          </w:p>
          <w:p w14:paraId="29671026">
            <w:pPr>
              <w:widowControl w:val="0"/>
              <w:tabs>
                <w:tab w:val="left" w:pos="4200"/>
              </w:tabs>
              <w:spacing w:line="240" w:lineRule="auto"/>
              <w:jc w:val="both"/>
              <w:rPr>
                <w:rFonts w:hint="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sz w:val="21"/>
                <w:szCs w:val="21"/>
                <w:lang w:val="en-US" w:eastAsia="zh-CN" w:bidi="ar-SA"/>
              </w:rPr>
              <w:t>⑤持续发展，具有爱护环境的意识，与自然和谐相处的环保理念与行动；具备终生学习的意识和能力。</w:t>
            </w:r>
          </w:p>
        </w:tc>
      </w:tr>
    </w:tbl>
    <w:p w14:paraId="3F16B06B">
      <w:pPr>
        <w:pStyle w:val="17"/>
        <w:spacing w:before="163" w:beforeLines="50" w:after="163"/>
        <w:rPr>
          <w:rFonts w:hint="eastAsia"/>
        </w:rPr>
      </w:pPr>
    </w:p>
    <w:p w14:paraId="4D1A50B5">
      <w:pPr>
        <w:pStyle w:val="17"/>
        <w:spacing w:before="163" w:beforeLines="50" w:after="163"/>
        <w:rPr>
          <w:rFonts w:hint="eastAsia"/>
        </w:rPr>
      </w:pPr>
    </w:p>
    <w:p w14:paraId="792C1A50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1823F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68CE31A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22B84DA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391507B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26440C2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CE292F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6CD4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9017517">
            <w:pPr>
              <w:pStyle w:val="14"/>
            </w:pPr>
            <w:r>
              <w:t>LO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885C1E9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⑤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07F69C6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2C1B2584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能够在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不断尝试和创新中建立自信，增强自我效能感，学会如何应对设计过程中遇到的挑战和压力。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33771A6"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  <w:tr w14:paraId="4816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A5A033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3A418A7">
            <w:pPr>
              <w:pStyle w:val="14"/>
              <w:rPr>
                <w:rFonts w:hint="default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④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3232154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6942874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掌握色彩的基本理论与色彩心理学，了解常见材料的特性、优缺点及应用场景，熟悉各种表面处理技术的原理及其在产品设计中的应用。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E6F4645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50％</w:t>
            </w:r>
          </w:p>
        </w:tc>
      </w:tr>
      <w:tr w14:paraId="4F13D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C0E67D4">
            <w:pPr>
              <w:pStyle w:val="14"/>
            </w:pP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6666BEC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⑤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D16C963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613DE7E2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了解CMF设计如何影响品牌价值和产品形象，掌握CMF设计的最新趋势，学习如何分析市场需求并将其应用于设计实践中。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4D83D81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50％</w:t>
            </w:r>
          </w:p>
        </w:tc>
      </w:tr>
      <w:tr w14:paraId="243B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1565242A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3605ACA0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556C5A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06A5574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学会使用专业工具和语言，</w:t>
            </w:r>
            <w:r>
              <w:rPr>
                <w:rFonts w:hint="eastAsia" w:ascii="宋体" w:hAnsi="宋体"/>
                <w:bCs/>
                <w:lang w:val="en-US" w:eastAsia="zh-CN"/>
              </w:rPr>
              <w:t>能够将</w:t>
            </w:r>
            <w:r>
              <w:rPr>
                <w:rFonts w:hint="eastAsia" w:ascii="宋体" w:hAnsi="宋体"/>
                <w:bCs/>
              </w:rPr>
              <w:t>设计理念、CMF方案</w:t>
            </w:r>
            <w:r>
              <w:rPr>
                <w:rFonts w:hint="eastAsia" w:ascii="宋体" w:hAnsi="宋体"/>
                <w:bCs/>
                <w:lang w:val="en-US" w:eastAsia="zh-CN"/>
              </w:rPr>
              <w:t>清晰有效地分工与沟通。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C59D28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  <w:tr w14:paraId="68EFF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6477A75A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t>LO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152CD0F3">
            <w:pPr>
              <w:pStyle w:val="14"/>
              <w:rPr>
                <w:rFonts w:hint="eastAsia" w:eastAsia="宋体" w:cs="Times New Roman"/>
                <w:bCs/>
                <w:lang w:val="en-US" w:eastAsia="zh-CN"/>
              </w:rPr>
            </w:pPr>
            <w:r>
              <w:rPr>
                <w:rFonts w:hint="eastAsia" w:cs="Times New Roman"/>
                <w:bCs/>
                <w:lang w:val="en-US" w:eastAsia="zh-CN"/>
              </w:rPr>
              <w:t>⑤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C943FF8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06244DCE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理解并掌握可持续设计的原则和方法，将环保理念融入产品设计中。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CC4BA97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100％</w:t>
            </w:r>
          </w:p>
        </w:tc>
      </w:tr>
    </w:tbl>
    <w:p w14:paraId="43BF55B7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713EA8E0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22B8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78DB5137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bookmarkStart w:id="0" w:name="OLE_LINK5"/>
            <w:bookmarkStart w:id="1" w:name="OLE_LINK6"/>
            <w:r>
              <w:rPr>
                <w:rFonts w:hint="eastAsia" w:ascii="宋体" w:hAnsi="宋体"/>
                <w:bCs/>
                <w:lang w:val="en-US" w:eastAsia="zh-CN"/>
              </w:rPr>
              <w:t>第1章 CMF设计概论</w:t>
            </w:r>
          </w:p>
          <w:p w14:paraId="0D3A6CB9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1.1  CMF设计的概念</w:t>
            </w:r>
          </w:p>
          <w:p w14:paraId="3E9E7AE3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1.2  CMF设计定义</w:t>
            </w:r>
          </w:p>
          <w:p w14:paraId="3F70541D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知识点：探讨CMF在设计领域的发展历程及其演变过程，理解CMF在产品设计、品牌识别、用户体验等方面的重要性。</w:t>
            </w:r>
          </w:p>
          <w:p w14:paraId="1C834734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重点：CMF在产品设计中美学和功能性的提升</w:t>
            </w:r>
          </w:p>
          <w:p w14:paraId="3F7C431B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难点：要求学生能够综合考虑色彩、材料、表面处理三者的协调性与整体性。．</w:t>
            </w:r>
          </w:p>
          <w:p w14:paraId="1D8D56C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1E2988A7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ascii="宋体" w:hAnsi="宋体"/>
                <w:bCs/>
              </w:rPr>
              <w:t xml:space="preserve">章 </w:t>
            </w:r>
            <w:r>
              <w:rPr>
                <w:rFonts w:hint="eastAsia" w:ascii="宋体" w:hAnsi="宋体"/>
                <w:bCs/>
                <w:lang w:val="en-US" w:eastAsia="zh-CN"/>
              </w:rPr>
              <w:t>CMF色彩设计</w:t>
            </w:r>
          </w:p>
          <w:p w14:paraId="71725F32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2.1  CMF配色的逻辑</w:t>
            </w:r>
          </w:p>
          <w:p w14:paraId="0B11B306">
            <w:pPr>
              <w:pStyle w:val="14"/>
              <w:widowControl w:val="0"/>
              <w:jc w:val="left"/>
              <w:rPr>
                <w:rFonts w:hint="eastAsia" w:ascii="宋体" w:hAnsi="宋体" w:eastAsia="Malgun Gothic"/>
                <w:bCs/>
                <w:lang w:val="en-US" w:eastAsia="ko-KR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</w:rPr>
              <w:t xml:space="preserve">.2  </w:t>
            </w:r>
            <w:r>
              <w:rPr>
                <w:rFonts w:hint="eastAsia" w:ascii="宋体" w:hAnsi="宋体"/>
                <w:bCs/>
                <w:lang w:val="en-US" w:eastAsia="zh-CN"/>
              </w:rPr>
              <w:t>CMF配色的模式</w:t>
            </w:r>
          </w:p>
          <w:p w14:paraId="43EEE4E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知识点：理解色彩的三要素及其相互关系, 理解色彩在引导视觉、区分信息层次、提升可读性等方面的作用。</w:t>
            </w:r>
          </w:p>
          <w:p w14:paraId="06D1B240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重点：如何结合产品的功能性进行配色</w:t>
            </w:r>
          </w:p>
          <w:p w14:paraId="7231EA92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难点：灵活调整配色方案以适应不同的设计需求与情境和材质</w:t>
            </w:r>
          </w:p>
          <w:p w14:paraId="664644ED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77F357EC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>章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材料与工艺</w:t>
            </w:r>
            <w:r>
              <w:rPr>
                <w:rFonts w:hint="eastAsia" w:ascii="宋体" w:hAnsi="宋体"/>
                <w:bCs/>
              </w:rPr>
              <w:t xml:space="preserve"> </w:t>
            </w:r>
          </w:p>
          <w:p w14:paraId="10572E05">
            <w:pPr>
              <w:pStyle w:val="14"/>
              <w:widowControl w:val="0"/>
              <w:jc w:val="left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>.1</w:t>
            </w:r>
            <w:r>
              <w:rPr>
                <w:rFonts w:ascii="宋体" w:hAnsi="宋体"/>
                <w:bCs/>
              </w:rPr>
              <w:t>　</w:t>
            </w:r>
            <w:r>
              <w:rPr>
                <w:rFonts w:hint="eastAsia" w:ascii="宋体" w:hAnsi="宋体"/>
                <w:bCs/>
                <w:lang w:val="en-US" w:eastAsia="zh-CN"/>
              </w:rPr>
              <w:t>玻璃</w:t>
            </w:r>
          </w:p>
          <w:p w14:paraId="4BED72EE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</w:rPr>
              <w:t xml:space="preserve">.2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陶瓷</w:t>
            </w:r>
          </w:p>
          <w:p w14:paraId="07AA6777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3.3  木材</w:t>
            </w:r>
          </w:p>
          <w:p w14:paraId="367ACC55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3.4  塑料</w:t>
            </w:r>
          </w:p>
          <w:p w14:paraId="4D85343A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3.5  金属</w:t>
            </w:r>
          </w:p>
          <w:p w14:paraId="7DF6DCB2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知识点：五种材料的基本特性，加工工艺以及不同的应用领域</w:t>
            </w:r>
          </w:p>
          <w:p w14:paraId="71D13D0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重点：灵活调整配色方案以适应不同的设计需求与情境和材质</w:t>
            </w:r>
          </w:p>
          <w:p w14:paraId="6A43ABD4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难点：解决材料之间的兼容性问题，在复杂产品设计中综合运用多种材料</w:t>
            </w:r>
          </w:p>
          <w:p w14:paraId="128FBB0F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zh-TW" w:eastAsia="zh-TW"/>
              </w:rPr>
            </w:pPr>
          </w:p>
          <w:p w14:paraId="4E48D6B8">
            <w:pPr>
              <w:pStyle w:val="14"/>
              <w:widowControl w:val="0"/>
              <w:jc w:val="left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章</w:t>
            </w:r>
            <w:r>
              <w:rPr>
                <w:rFonts w:hint="eastAsia"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  <w:lang w:val="en-US" w:eastAsia="zh-CN"/>
              </w:rPr>
              <w:t>装饰与表面处理</w:t>
            </w:r>
          </w:p>
          <w:p w14:paraId="72AE14E4">
            <w:pPr>
              <w:widowControl w:val="0"/>
              <w:ind w:left="-50" w:right="-50"/>
              <w:jc w:val="both"/>
              <w:rPr>
                <w:rFonts w:hint="default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.1</w:t>
            </w: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表面处理的目的</w:t>
            </w:r>
          </w:p>
          <w:p w14:paraId="790C9837">
            <w:pPr>
              <w:widowControl w:val="0"/>
              <w:ind w:left="-50" w:right="-50"/>
              <w:jc w:val="both"/>
              <w:rPr>
                <w:rFonts w:hint="default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.2</w:t>
            </w:r>
            <w:r>
              <w:rPr>
                <w:rFonts w:hint="eastAsia"/>
                <w:bCs/>
                <w:color w:val="000000"/>
                <w:sz w:val="21"/>
                <w:szCs w:val="21"/>
                <w:lang w:val="en-US" w:eastAsia="zh-CN"/>
              </w:rPr>
              <w:t xml:space="preserve"> 表面处理的效果和应用</w:t>
            </w:r>
          </w:p>
          <w:p w14:paraId="53848340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知识点：不同材料适用的装饰和表面处理方法</w:t>
            </w:r>
          </w:p>
          <w:p w14:paraId="082D2A6C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重点：根据产品设计需求选择合适的表面处理工艺</w:t>
            </w:r>
          </w:p>
          <w:p w14:paraId="4FE248E3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难点：在复杂形状或多种材料组合的产品中实施表面处理，保证处理效果的一致性和质量稳定性。</w:t>
            </w:r>
          </w:p>
        </w:tc>
      </w:tr>
      <w:bookmarkEnd w:id="0"/>
      <w:bookmarkEnd w:id="1"/>
    </w:tbl>
    <w:p w14:paraId="0B741157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43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</w:tblGrid>
      <w:tr w14:paraId="57BA8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1878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1119410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3721ECC0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788DA182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17D2AFF6">
            <w:pPr>
              <w:pStyle w:val="13"/>
              <w:rPr>
                <w:rFonts w:hint="eastAsia" w:eastAsia="Malgun Gothic"/>
                <w:szCs w:val="16"/>
                <w:lang w:val="en-US" w:eastAsia="ko-KR"/>
              </w:rPr>
            </w:pPr>
            <w:r>
              <w:rPr>
                <w:rFonts w:hint="eastAsia" w:eastAsia="Malgun Gothic"/>
                <w:szCs w:val="16"/>
                <w:lang w:val="en-US" w:eastAsia="ko-KR"/>
              </w:rPr>
              <w:t>1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74B85BB6">
            <w:pPr>
              <w:pStyle w:val="13"/>
              <w:rPr>
                <w:rFonts w:hint="eastAsia" w:eastAsia="Malgun Gothic"/>
                <w:szCs w:val="16"/>
                <w:lang w:val="en-US" w:eastAsia="ko-KR"/>
              </w:rPr>
            </w:pPr>
            <w:r>
              <w:rPr>
                <w:rFonts w:hint="eastAsia" w:eastAsia="Malgun Gothic"/>
                <w:szCs w:val="16"/>
                <w:lang w:val="en-US" w:eastAsia="ko-KR"/>
              </w:rPr>
              <w:t>2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 w14:paraId="776B123D">
            <w:pPr>
              <w:pStyle w:val="13"/>
              <w:rPr>
                <w:rFonts w:hint="eastAsia" w:eastAsia="Malgun Gothic"/>
                <w:szCs w:val="16"/>
                <w:lang w:val="en-US" w:eastAsia="ko-KR"/>
              </w:rPr>
            </w:pPr>
            <w:r>
              <w:rPr>
                <w:rFonts w:hint="eastAsia" w:eastAsia="Malgun Gothic"/>
                <w:szCs w:val="16"/>
                <w:lang w:val="en-US" w:eastAsia="ko-KR"/>
              </w:rPr>
              <w:t>3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4589DEA3">
            <w:pPr>
              <w:pStyle w:val="13"/>
              <w:rPr>
                <w:rFonts w:hint="eastAsia" w:eastAsia="Malgun Gothic"/>
                <w:szCs w:val="16"/>
                <w:lang w:val="en-US" w:eastAsia="ko-KR"/>
              </w:rPr>
            </w:pPr>
            <w:r>
              <w:rPr>
                <w:rFonts w:hint="eastAsia" w:eastAsia="Malgun Gothic"/>
                <w:szCs w:val="16"/>
                <w:lang w:val="en-US" w:eastAsia="ko-KR"/>
              </w:rPr>
              <w:t>4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0B0AAD93">
            <w:pPr>
              <w:pStyle w:val="13"/>
              <w:rPr>
                <w:rFonts w:hint="eastAsia" w:eastAsia="Malgun Gothic"/>
                <w:szCs w:val="16"/>
                <w:lang w:val="en-US" w:eastAsia="ko-KR"/>
              </w:rPr>
            </w:pPr>
            <w:r>
              <w:rPr>
                <w:rFonts w:hint="eastAsia" w:eastAsia="Malgun Gothic"/>
                <w:szCs w:val="16"/>
                <w:lang w:val="en-US" w:eastAsia="ko-KR"/>
              </w:rPr>
              <w:t>5</w:t>
            </w:r>
          </w:p>
        </w:tc>
      </w:tr>
      <w:tr w14:paraId="2C94A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4F748A3A"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CMF设计概论</w:t>
            </w:r>
          </w:p>
        </w:tc>
        <w:tc>
          <w:tcPr>
            <w:tcW w:w="1100" w:type="dxa"/>
            <w:vAlign w:val="center"/>
          </w:tcPr>
          <w:p w14:paraId="54AB8A6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42B60D0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51866EF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122B83A1">
            <w:pPr>
              <w:pStyle w:val="14"/>
            </w:pPr>
          </w:p>
        </w:tc>
        <w:tc>
          <w:tcPr>
            <w:tcW w:w="1099" w:type="dxa"/>
            <w:vAlign w:val="center"/>
          </w:tcPr>
          <w:p w14:paraId="66E69BC5">
            <w:pPr>
              <w:pStyle w:val="14"/>
            </w:pPr>
          </w:p>
        </w:tc>
      </w:tr>
      <w:tr w14:paraId="4B17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2EEDC3DC">
            <w:pPr>
              <w:pStyle w:val="14"/>
            </w:pPr>
            <w:r>
              <w:rPr>
                <w:rFonts w:hint="eastAsia" w:ascii="宋体" w:hAnsi="宋体"/>
                <w:bCs/>
                <w:lang w:val="en-US" w:eastAsia="zh-CN"/>
              </w:rPr>
              <w:t>CMF色彩设计</w:t>
            </w:r>
          </w:p>
        </w:tc>
        <w:tc>
          <w:tcPr>
            <w:tcW w:w="1100" w:type="dxa"/>
            <w:vAlign w:val="center"/>
          </w:tcPr>
          <w:p w14:paraId="2615868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2E06C16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6558A2B7">
            <w:pPr>
              <w:pStyle w:val="14"/>
            </w:pPr>
          </w:p>
        </w:tc>
        <w:tc>
          <w:tcPr>
            <w:tcW w:w="1099" w:type="dxa"/>
            <w:vAlign w:val="center"/>
          </w:tcPr>
          <w:p w14:paraId="7DA0C40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5384C96E">
            <w:pPr>
              <w:pStyle w:val="14"/>
            </w:pPr>
          </w:p>
        </w:tc>
      </w:tr>
      <w:tr w14:paraId="230F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</w:tcBorders>
          </w:tcPr>
          <w:p w14:paraId="38AA762F">
            <w:pPr>
              <w:pStyle w:val="14"/>
              <w:widowControl w:val="0"/>
              <w:ind w:firstLine="315" w:firstLineChars="150"/>
              <w:jc w:val="left"/>
            </w:pPr>
            <w:r>
              <w:rPr>
                <w:rFonts w:hint="eastAsia" w:ascii="宋体" w:hAnsi="宋体"/>
                <w:bCs/>
                <w:lang w:val="en-US" w:eastAsia="zh-CN"/>
              </w:rPr>
              <w:t>材料与工艺</w:t>
            </w:r>
            <w:r>
              <w:rPr>
                <w:rFonts w:hint="eastAsia" w:ascii="宋体" w:hAnsi="宋体"/>
                <w:bCs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C4F5C4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vAlign w:val="center"/>
          </w:tcPr>
          <w:p w14:paraId="5B7BA4A4">
            <w:pPr>
              <w:pStyle w:val="14"/>
            </w:pPr>
          </w:p>
        </w:tc>
        <w:tc>
          <w:tcPr>
            <w:tcW w:w="1100" w:type="dxa"/>
            <w:vAlign w:val="center"/>
          </w:tcPr>
          <w:p w14:paraId="47B9BD5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7CC7AF5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46A65E2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6381C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8" w:type="dxa"/>
            <w:tcBorders>
              <w:left w:val="single" w:color="auto" w:sz="12" w:space="0"/>
              <w:bottom w:val="single" w:color="auto" w:sz="12" w:space="0"/>
            </w:tcBorders>
          </w:tcPr>
          <w:p w14:paraId="19074AAE">
            <w:pPr>
              <w:pStyle w:val="14"/>
              <w:widowControl w:val="0"/>
              <w:ind w:firstLine="105" w:firstLineChars="5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装饰与表面处理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6A5E4E0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4089A43D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 w14:paraId="2C2E111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52C4F08C">
            <w:pPr>
              <w:pStyle w:val="14"/>
            </w:pP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0261924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22414073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657A0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20E83F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 w14:paraId="67CDDF80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 w14:paraId="5C806AD1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8E21BB1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5CB4B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 w14:paraId="05218FC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755" w:type="dxa"/>
            <w:vMerge w:val="continue"/>
          </w:tcPr>
          <w:p w14:paraId="6A346F9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738" w:type="dxa"/>
            <w:vMerge w:val="continue"/>
          </w:tcPr>
          <w:p w14:paraId="311D08F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4D92DA4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4947344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4AD39C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2014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1DC0598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CMF设计概论</w:t>
            </w:r>
          </w:p>
        </w:tc>
        <w:tc>
          <w:tcPr>
            <w:tcW w:w="2755" w:type="dxa"/>
            <w:vAlign w:val="center"/>
          </w:tcPr>
          <w:p w14:paraId="66794AFE">
            <w:pPr>
              <w:widowControl w:val="0"/>
              <w:snapToGrid w:val="0"/>
              <w:jc w:val="left"/>
              <w:rPr>
                <w:rFonts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教的方法：案例教学、讨论教学 学的方法：解决问题学习</w:t>
            </w:r>
          </w:p>
        </w:tc>
        <w:tc>
          <w:tcPr>
            <w:tcW w:w="1738" w:type="dxa"/>
            <w:vAlign w:val="center"/>
          </w:tcPr>
          <w:p w14:paraId="279127E9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小组汇报</w:t>
            </w:r>
          </w:p>
        </w:tc>
        <w:tc>
          <w:tcPr>
            <w:tcW w:w="725" w:type="dxa"/>
            <w:vAlign w:val="center"/>
          </w:tcPr>
          <w:p w14:paraId="6FC8294E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9" w:type="dxa"/>
            <w:vAlign w:val="center"/>
          </w:tcPr>
          <w:p w14:paraId="24EC0365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402D923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0E90C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47A35C0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CMF色彩设计</w:t>
            </w:r>
          </w:p>
        </w:tc>
        <w:tc>
          <w:tcPr>
            <w:tcW w:w="2755" w:type="dxa"/>
            <w:vAlign w:val="center"/>
          </w:tcPr>
          <w:p w14:paraId="5D9F39AA">
            <w:pPr>
              <w:widowControl w:val="0"/>
              <w:snapToGrid w:val="0"/>
              <w:jc w:val="left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教的方法：讲述教学、讨论教学法 学的方法：解决问题学习、自主学习与探究</w:t>
            </w:r>
          </w:p>
        </w:tc>
        <w:tc>
          <w:tcPr>
            <w:tcW w:w="1738" w:type="dxa"/>
            <w:vAlign w:val="center"/>
          </w:tcPr>
          <w:p w14:paraId="78DCFD41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作品设计</w:t>
            </w:r>
          </w:p>
        </w:tc>
        <w:tc>
          <w:tcPr>
            <w:tcW w:w="725" w:type="dxa"/>
            <w:vAlign w:val="center"/>
          </w:tcPr>
          <w:p w14:paraId="68AD2F9E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14D525D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04B065E2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10</w:t>
            </w:r>
          </w:p>
        </w:tc>
      </w:tr>
      <w:tr w14:paraId="198A9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22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63223D7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材料与工艺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755" w:type="dxa"/>
            <w:vAlign w:val="center"/>
          </w:tcPr>
          <w:p w14:paraId="6DA3D7FE">
            <w:pPr>
              <w:widowControl w:val="0"/>
              <w:snapToGrid w:val="0"/>
              <w:jc w:val="left"/>
              <w:rPr>
                <w:rFonts w:hint="default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教的方法：讲述教学、讨论教学法 学的方法：解决问题学习、自主学习与探究</w:t>
            </w:r>
          </w:p>
        </w:tc>
        <w:tc>
          <w:tcPr>
            <w:tcW w:w="1738" w:type="dxa"/>
            <w:vAlign w:val="center"/>
          </w:tcPr>
          <w:p w14:paraId="458F7EF7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作品设计</w:t>
            </w:r>
          </w:p>
        </w:tc>
        <w:tc>
          <w:tcPr>
            <w:tcW w:w="725" w:type="dxa"/>
            <w:vAlign w:val="center"/>
          </w:tcPr>
          <w:p w14:paraId="4A5EF8BC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9" w:type="dxa"/>
            <w:vAlign w:val="center"/>
          </w:tcPr>
          <w:p w14:paraId="0A559B89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FB9728E">
            <w:pPr>
              <w:widowControl w:val="0"/>
              <w:snapToGrid w:val="0"/>
              <w:jc w:val="center"/>
              <w:rPr>
                <w:rFonts w:hint="eastAsia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6BEC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22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6730695B">
            <w:pPr>
              <w:widowControl w:val="0"/>
              <w:snapToGrid w:val="0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装饰与表面处理</w:t>
            </w:r>
          </w:p>
        </w:tc>
        <w:tc>
          <w:tcPr>
            <w:tcW w:w="2755" w:type="dxa"/>
            <w:vAlign w:val="center"/>
          </w:tcPr>
          <w:p w14:paraId="50A96822">
            <w:pPr>
              <w:widowControl w:val="0"/>
              <w:snapToGrid w:val="0"/>
              <w:jc w:val="left"/>
              <w:rPr>
                <w:rFonts w:hint="eastAsia" w:ascii="Times New Roman" w:hAnsi="Times New Roman" w:eastAsia="宋体" w:cs="宋体"/>
                <w:bCs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教的方法：讲述教学法、讨论教学法 学的方法：解决问题学习</w:t>
            </w:r>
          </w:p>
        </w:tc>
        <w:tc>
          <w:tcPr>
            <w:tcW w:w="1738" w:type="dxa"/>
            <w:vAlign w:val="center"/>
          </w:tcPr>
          <w:p w14:paraId="61BDAE1C">
            <w:pPr>
              <w:widowControl w:val="0"/>
              <w:snapToGrid w:val="0"/>
              <w:jc w:val="center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作品设计</w:t>
            </w:r>
          </w:p>
        </w:tc>
        <w:tc>
          <w:tcPr>
            <w:tcW w:w="725" w:type="dxa"/>
            <w:vAlign w:val="center"/>
          </w:tcPr>
          <w:p w14:paraId="0E91E6D4">
            <w:pPr>
              <w:widowControl w:val="0"/>
              <w:snapToGrid w:val="0"/>
              <w:jc w:val="center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4</w:t>
            </w:r>
          </w:p>
        </w:tc>
        <w:tc>
          <w:tcPr>
            <w:tcW w:w="669" w:type="dxa"/>
            <w:vAlign w:val="center"/>
          </w:tcPr>
          <w:p w14:paraId="148087EF">
            <w:pPr>
              <w:widowControl w:val="0"/>
              <w:snapToGrid w:val="0"/>
              <w:jc w:val="center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3EDC2665">
            <w:pPr>
              <w:widowControl w:val="0"/>
              <w:snapToGrid w:val="0"/>
              <w:jc w:val="center"/>
              <w:rPr>
                <w:rFonts w:hint="eastAsia" w:ascii="宋体" w:hAnsi="宋体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8</w:t>
            </w:r>
          </w:p>
        </w:tc>
      </w:tr>
      <w:tr w14:paraId="488C9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4E52AE68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 w14:paraId="70FB780F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 w14:paraId="455854F5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1FB39E0">
            <w:pPr>
              <w:widowControl w:val="0"/>
              <w:snapToGrid w:val="0"/>
              <w:jc w:val="center"/>
              <w:rPr>
                <w:rFonts w:hint="default" w:ascii="Times New Roman" w:hAnsi="Times New Roman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</w:tbl>
    <w:p w14:paraId="45042722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2083"/>
        <w:gridCol w:w="3860"/>
        <w:gridCol w:w="862"/>
        <w:gridCol w:w="950"/>
      </w:tblGrid>
      <w:tr w14:paraId="3D198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752B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20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C29A8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A1B3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7EFC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2A23550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F4C40E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A76DA4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2EAC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44165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F6C1B">
            <w:pPr>
              <w:pStyle w:val="14"/>
            </w:pPr>
            <w:r>
              <w:rPr>
                <w:rFonts w:hint="eastAsia"/>
                <w:lang w:val="en-US" w:eastAsia="zh-CN"/>
              </w:rPr>
              <w:t>CMF</w:t>
            </w:r>
            <w:r>
              <w:rPr>
                <w:rFonts w:hint="eastAsia"/>
              </w:rPr>
              <w:t>配色方案设计</w:t>
            </w:r>
          </w:p>
        </w:tc>
        <w:tc>
          <w:tcPr>
            <w:tcW w:w="3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8EDC2">
            <w:pPr>
              <w:pStyle w:val="14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内容：选择一个真实的品牌（可以是消费电子、家居用品、时尚配件等）运用色彩配色原则和心法模式，设计一套符合品牌调性并能吸引目标用户的新的CMF色彩方案。</w:t>
            </w:r>
          </w:p>
          <w:p w14:paraId="14B4F56D">
            <w:pPr>
              <w:pStyle w:val="14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要求：将设计好的色彩方案应用到产品的不同部分，并通过图示（如3D渲染、手绘草图等）展示色彩方案的效果。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DCCBF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8F93835">
            <w:pPr>
              <w:pStyle w:val="14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33ED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EF648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B44E8">
            <w:pPr>
              <w:pStyle w:val="14"/>
            </w:pPr>
            <w:r>
              <w:rPr>
                <w:rFonts w:hint="eastAsia"/>
                <w:lang w:val="en-US" w:eastAsia="zh-CN"/>
              </w:rPr>
              <w:t>多材料组合产品设计与工艺分析</w:t>
            </w:r>
          </w:p>
        </w:tc>
        <w:tc>
          <w:tcPr>
            <w:tcW w:w="3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884C8">
            <w:pPr>
              <w:pStyle w:val="14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内容：</w:t>
            </w:r>
            <w:r>
              <w:rPr>
                <w:rFonts w:hint="eastAsia" w:eastAsia="宋体"/>
                <w:lang w:eastAsia="zh-CN"/>
              </w:rPr>
              <w:t>设计一款日常用品、家居配件或消费电子产品，根据产品的功能需求，选择至少三种不同的材料，并解释每种材料的选择理由，包括其物理特性、美观性、加工难度等。绘制产品设计草图，标注不同部分所使用的材料及其加工工艺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eastAsia="宋体"/>
                <w:lang w:eastAsia="zh-CN"/>
              </w:rPr>
              <w:t>可以使用手绘草图或3D软件渲染图。</w:t>
            </w:r>
          </w:p>
          <w:p w14:paraId="3BD1E1B6">
            <w:pPr>
              <w:pStyle w:val="14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要求：</w:t>
            </w:r>
            <w:r>
              <w:rPr>
                <w:rFonts w:hint="eastAsia" w:eastAsia="宋体"/>
                <w:lang w:eastAsia="zh-CN"/>
              </w:rPr>
              <w:t>详细展示材料与工艺在产品中的应用，解释如何通过材料选择和工艺处理提升产品的整体质感与功能性。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CFC1F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8599412">
            <w:pPr>
              <w:pStyle w:val="14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71D69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D51B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77470">
            <w:pPr>
              <w:pStyle w:val="14"/>
              <w:rPr>
                <w:rFonts w:hint="eastAsia" w:eastAsia="Malgun Gothic"/>
                <w:lang w:eastAsia="ko-K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ko-KR"/>
              </w:rPr>
              <w:t>产品表面处理与装饰设计</w:t>
            </w:r>
          </w:p>
        </w:tc>
        <w:tc>
          <w:tcPr>
            <w:tcW w:w="3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B2FD0">
            <w:pPr>
              <w:pStyle w:val="14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内容：</w:t>
            </w:r>
            <w:r>
              <w:rPr>
                <w:rFonts w:hint="eastAsia"/>
              </w:rPr>
              <w:t>选择一个具体产品作为设计对象,如</w:t>
            </w:r>
            <w:r>
              <w:rPr>
                <w:rFonts w:hint="eastAsia"/>
                <w:lang w:val="en-US" w:eastAsia="zh-CN"/>
              </w:rPr>
              <w:t>首饰、</w:t>
            </w:r>
            <w:r>
              <w:rPr>
                <w:rFonts w:hint="eastAsia"/>
              </w:rPr>
              <w:t>手机外壳、家居电器等,设计表面处理与装饰工艺，说明具体的处理方法及其应用区域。</w:t>
            </w:r>
          </w:p>
          <w:p w14:paraId="0D1951D0">
            <w:pPr>
              <w:pStyle w:val="14"/>
              <w:jc w:val="left"/>
            </w:pPr>
            <w:r>
              <w:rPr>
                <w:rFonts w:hint="eastAsia"/>
                <w:lang w:val="en-US" w:eastAsia="zh-CN"/>
              </w:rPr>
              <w:t>要求：</w:t>
            </w:r>
            <w:r>
              <w:rPr>
                <w:rFonts w:hint="eastAsia"/>
              </w:rPr>
              <w:t>展示装饰设计的效果，如颜色、纹理、光泽度等，并结合产品设计的整体风格进行说明。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01697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E1446E3">
            <w:pPr>
              <w:pStyle w:val="14"/>
            </w:pPr>
            <w:r>
              <w:t xml:space="preserve"> </w:t>
            </w:r>
            <w:r>
              <w:rPr>
                <w:rFonts w:hint="eastAsia"/>
              </w:rPr>
              <w:t>③</w:t>
            </w:r>
          </w:p>
        </w:tc>
      </w:tr>
      <w:tr w14:paraId="724B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277A2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9E48073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2737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0F658963">
            <w:pPr>
              <w:pStyle w:val="14"/>
              <w:widowControl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通过案例分析，介绍中国传统工艺美术在现代设计中的应用，如故宫文创产品中色彩与材料的应用，培养学生对中国文化的自豪感。第二章CMF色彩设计：结合中国传统色彩文化，如“五行五色”、青瓷色、唐三彩等，分析其在现代设计中的应用，激发学生对民族文化的认同感。第三章材料与工艺：讨论如何通过选用环保材料和可持续的工艺技术，减少对环境的影响，引导学生关注生态设计。第四章装饰与表面处理：结合传统工艺如景泰蓝、漆器、木雕等在现代设计中的创新应用，探讨文化传承与创新的关系。</w:t>
            </w:r>
          </w:p>
        </w:tc>
      </w:tr>
    </w:tbl>
    <w:p w14:paraId="516233A3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734"/>
        <w:gridCol w:w="734"/>
        <w:gridCol w:w="734"/>
        <w:gridCol w:w="734"/>
        <w:gridCol w:w="736"/>
        <w:gridCol w:w="706"/>
      </w:tblGrid>
      <w:tr w14:paraId="3E81E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6DC1AA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7F3B8729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232C32DD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DA901A8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BBC093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75C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49D6239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71ED142D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44840692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6E68C125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34" w:type="dxa"/>
            <w:vAlign w:val="center"/>
          </w:tcPr>
          <w:p w14:paraId="45D0E05D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34" w:type="dxa"/>
            <w:vAlign w:val="center"/>
          </w:tcPr>
          <w:p w14:paraId="379A366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34" w:type="dxa"/>
            <w:vAlign w:val="center"/>
          </w:tcPr>
          <w:p w14:paraId="496DF90F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36" w:type="dxa"/>
            <w:vAlign w:val="center"/>
          </w:tcPr>
          <w:p w14:paraId="3EED5E21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7E0FE054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2BD3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55DFE33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273650A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1CE96F51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20AAA1F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34" w:type="dxa"/>
            <w:vAlign w:val="center"/>
          </w:tcPr>
          <w:p w14:paraId="6EC3A0C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34" w:type="dxa"/>
            <w:vAlign w:val="center"/>
          </w:tcPr>
          <w:p w14:paraId="226BAD1D">
            <w:pPr>
              <w:pStyle w:val="14"/>
              <w:widowControl w:val="0"/>
            </w:pPr>
          </w:p>
        </w:tc>
        <w:tc>
          <w:tcPr>
            <w:tcW w:w="734" w:type="dxa"/>
            <w:vAlign w:val="center"/>
          </w:tcPr>
          <w:p w14:paraId="63CE0417">
            <w:pPr>
              <w:pStyle w:val="14"/>
              <w:widowControl w:val="0"/>
            </w:pPr>
          </w:p>
        </w:tc>
        <w:tc>
          <w:tcPr>
            <w:tcW w:w="736" w:type="dxa"/>
            <w:vAlign w:val="center"/>
          </w:tcPr>
          <w:p w14:paraId="13BE364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C5F28C0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780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0851EC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1986DA37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40％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233334B2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2BC8BAF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34" w:type="dxa"/>
            <w:vAlign w:val="center"/>
          </w:tcPr>
          <w:p w14:paraId="4CC47782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34" w:type="dxa"/>
            <w:vAlign w:val="center"/>
          </w:tcPr>
          <w:p w14:paraId="4E657293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34" w:type="dxa"/>
            <w:vAlign w:val="center"/>
          </w:tcPr>
          <w:p w14:paraId="43DF1FD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36" w:type="dxa"/>
            <w:vAlign w:val="center"/>
          </w:tcPr>
          <w:p w14:paraId="3C60FAB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C3BEA7A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9316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AFED7D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228178CB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20％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042471AA"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设计作品</w:t>
            </w:r>
          </w:p>
        </w:tc>
        <w:tc>
          <w:tcPr>
            <w:tcW w:w="734" w:type="dxa"/>
            <w:tcBorders>
              <w:left w:val="double" w:color="auto" w:sz="4" w:space="0"/>
            </w:tcBorders>
            <w:vAlign w:val="center"/>
          </w:tcPr>
          <w:p w14:paraId="1380278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34" w:type="dxa"/>
            <w:vAlign w:val="center"/>
          </w:tcPr>
          <w:p w14:paraId="2292589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34" w:type="dxa"/>
            <w:vAlign w:val="center"/>
          </w:tcPr>
          <w:p w14:paraId="63A9FFFD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34" w:type="dxa"/>
            <w:vAlign w:val="center"/>
          </w:tcPr>
          <w:p w14:paraId="3B75FFFF">
            <w:pPr>
              <w:pStyle w:val="14"/>
              <w:widowControl w:val="0"/>
            </w:pPr>
          </w:p>
        </w:tc>
        <w:tc>
          <w:tcPr>
            <w:tcW w:w="736" w:type="dxa"/>
            <w:vAlign w:val="center"/>
          </w:tcPr>
          <w:p w14:paraId="18FECB7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74F7DD7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6C82B68F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69313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739B3A73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44B0F88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59F850D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5BDDB04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5E95885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18B8EBD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5B53D90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1DB45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 w14:paraId="2EA1E3C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33A16177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1DCAE98C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434148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4626407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39F6CD6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060F505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72BB762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0084640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6F454FC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61E2E4F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7D0C0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FD457D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3FE71D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3A3382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72F7995D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56952DE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F42A99F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A0BEACC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34854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69B1071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F29AD1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8EB3D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0C8BC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8BC13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160972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5A7E3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ABA8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4D4A27F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5246CF4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8164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61DD6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0106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53FE5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A0031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1314F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0CD23A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4E1F361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16E39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579E6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5F35F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C192B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F3D99D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2C652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1C62D2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5B9ACB8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E1547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0456F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FF82C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0E0B98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B5552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41AD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5DC9689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57C07DF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2ADA5A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0CA5F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7B12C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49812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ED5CA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44184E30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FCE5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2916AAE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32D694D3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</w:p>
          <w:p w14:paraId="6CE93D18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0B25117F">
      <w:pPr>
        <w:pStyle w:val="16"/>
        <w:rPr>
          <w:rFonts w:hint="eastAsia" w:ascii="黑体" w:hAnsi="宋体"/>
          <w:sz w:val="18"/>
          <w:szCs w:val="1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B99E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4344E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56C05B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7856C05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0CAA2673"/>
    <w:rsid w:val="0F6B6459"/>
    <w:rsid w:val="0FAC618D"/>
    <w:rsid w:val="10BD2C22"/>
    <w:rsid w:val="22987C80"/>
    <w:rsid w:val="24192CCC"/>
    <w:rsid w:val="26F4679D"/>
    <w:rsid w:val="3789032B"/>
    <w:rsid w:val="39A66CD4"/>
    <w:rsid w:val="3C627ED4"/>
    <w:rsid w:val="3CD52CE1"/>
    <w:rsid w:val="410F2E6A"/>
    <w:rsid w:val="413F608F"/>
    <w:rsid w:val="43827BD5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7BF418F"/>
    <w:rsid w:val="780F13C8"/>
    <w:rsid w:val="79D462E8"/>
    <w:rsid w:val="7AD2618C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  <w:style w:type="character" w:styleId="22">
    <w:name w:val="Placeholder Text"/>
    <w:basedOn w:val="9"/>
    <w:unhideWhenUsed/>
    <w:qFormat/>
    <w:uiPriority w:val="99"/>
    <w:rPr>
      <w:color w:val="808080"/>
    </w:rPr>
  </w:style>
  <w:style w:type="paragraph" w:customStyle="1" w:styleId="23">
    <w:name w:val="正文 A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C9532-FBF0-B244-81AA-2A685C215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1171</Words>
  <Characters>1238</Characters>
  <Lines>6</Lines>
  <Paragraphs>1</Paragraphs>
  <TotalTime>0</TotalTime>
  <ScaleCrop>false</ScaleCrop>
  <LinksUpToDate>false</LinksUpToDate>
  <CharactersWithSpaces>1246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2023-11-21T02:39:00Z</dcterms:created>
  <dc:creator>juvg</dc:creator>
  <cp:lastModifiedBy>Sttone</cp:lastModifiedBy>
  <cp:lastPrinted>2023-11-21T00:52:00Z</cp:lastPrinted>
  <dcterms:modified xsi:type="dcterms:W3CDTF">2025-05-13T06:43:58Z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94E98EC3DD1F4D11A0EA00FDDB4FEE06_13</vt:lpwstr>
  </property>
</Properties>
</file>