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68469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《艺术设计史》本科课程教学大纲</w:t>
      </w:r>
    </w:p>
    <w:p w14:paraId="6ECD5700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1F3F16DE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630D10A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609C107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艺术设计史</w:t>
            </w:r>
          </w:p>
        </w:tc>
      </w:tr>
      <w:tr w14:paraId="58C56DDA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DB206D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71BC1D85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Art Design History</w:t>
            </w:r>
          </w:p>
        </w:tc>
      </w:tr>
      <w:tr w14:paraId="4EA489D6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68F871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1</w:t>
            </w:r>
            <w:bookmarkStart w:id="6" w:name="_GoBack"/>
            <w:bookmarkEnd w:id="6"/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040023</w:t>
            </w:r>
          </w:p>
        </w:tc>
        <w:tc>
          <w:tcPr>
            <w:tcW w:w="2126" w:type="dxa"/>
            <w:gridSpan w:val="2"/>
            <w:vAlign w:val="center"/>
          </w:tcPr>
          <w:p w14:paraId="066EC97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333A09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644B5535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045B68D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2" w:type="dxa"/>
            <w:vAlign w:val="center"/>
          </w:tcPr>
          <w:p w14:paraId="6C85515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413" w:type="dxa"/>
            <w:gridSpan w:val="2"/>
            <w:vAlign w:val="center"/>
          </w:tcPr>
          <w:p w14:paraId="4EB60CA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C369051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00C72B9C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FBEEB0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679FC0C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艺术设计学院各专业大一\大二\大三学生</w:t>
            </w:r>
          </w:p>
        </w:tc>
      </w:tr>
      <w:tr w14:paraId="0376D2BC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C2CF26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 w14:paraId="4AAB6BF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D5A7CE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 w14:paraId="4385941B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07F32D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776978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《世界现代设计史》，王受之著，中国青年出版社 2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015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年版</w:t>
            </w:r>
          </w:p>
        </w:tc>
        <w:tc>
          <w:tcPr>
            <w:tcW w:w="1413" w:type="dxa"/>
            <w:gridSpan w:val="2"/>
            <w:vAlign w:val="center"/>
          </w:tcPr>
          <w:p w14:paraId="25D25D8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310C358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ACE32F4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1C56CF89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5B0D8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F229263">
            <w:pPr>
              <w:pStyle w:val="14"/>
              <w:widowControl w:val="0"/>
              <w:jc w:val="both"/>
              <w:rPr>
                <w:rFonts w:hint="eastAsia" w:asciiTheme="majorEastAsia" w:hAnsiTheme="majorEastAsia" w:eastAsiaTheme="majorEastAsia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 w14:paraId="1C8B1152">
        <w:trPr>
          <w:trHeight w:val="2584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964801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2F925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3" w:beforeLines="50" w:after="163" w:afterLines="50" w:line="288" w:lineRule="auto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本主要研究和概述设计现象、设计基本原理、设计基本规律、现代设计的形成及发展趋势、设计的流派与体系、思维与方法、经营与管理、欣赏与批评等，重在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培养学生全面掌握设计的基本理论，树立科学的设计思想，激活想象力和创造力，吸收前人的设计成果，拓展专业知识，扩展艺术思路，理论与实践相结合，提高学生的设计文化修养和设计能力。</w:t>
            </w:r>
          </w:p>
          <w:p w14:paraId="6B4A4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3" w:beforeLines="50" w:after="163" w:afterLines="50" w:line="288" w:lineRule="auto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各专业应依据其自身特点及学生培养目标，对教案、进度表和考核方案进行相应的适应性调整。</w:t>
            </w:r>
          </w:p>
        </w:tc>
      </w:tr>
      <w:tr w14:paraId="4D307D10">
        <w:trPr>
          <w:trHeight w:val="1403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E242B1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6C95E2F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420" w:firstLineChars="200"/>
              <w:jc w:val="both"/>
              <w:textAlignment w:val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本课程课时数</w:t>
            </w:r>
            <w:r>
              <w:rPr>
                <w:rFonts w:asciiTheme="minorEastAsia" w:hAnsiTheme="minorEastAsia" w:eastAsiaTheme="minorEastAsia"/>
              </w:rPr>
              <w:t>32</w:t>
            </w:r>
            <w:r>
              <w:rPr>
                <w:rFonts w:hint="eastAsia" w:asciiTheme="minorEastAsia" w:hAnsiTheme="minorEastAsia" w:eastAsiaTheme="minorEastAsia"/>
              </w:rPr>
              <w:t>学时，其中理论授课</w:t>
            </w:r>
            <w:r>
              <w:rPr>
                <w:rFonts w:asciiTheme="minorEastAsia" w:hAnsiTheme="minorEastAsia" w:eastAsiaTheme="minorEastAsia"/>
              </w:rPr>
              <w:t>28</w:t>
            </w:r>
            <w:r>
              <w:rPr>
                <w:rFonts w:hint="eastAsia" w:asciiTheme="minorEastAsia" w:hAnsiTheme="minorEastAsia" w:eastAsiaTheme="minorEastAsia"/>
              </w:rPr>
              <w:t>学时，实践课</w:t>
            </w:r>
            <w:r>
              <w:rPr>
                <w:rFonts w:asciiTheme="minorEastAsia" w:hAnsiTheme="minorEastAsia" w:eastAsiaTheme="minorEastAsia"/>
              </w:rPr>
              <w:t>4</w:t>
            </w:r>
            <w:r>
              <w:rPr>
                <w:rFonts w:hint="eastAsia" w:asciiTheme="minorEastAsia" w:hAnsiTheme="minorEastAsia" w:eastAsiaTheme="minorEastAsia"/>
              </w:rPr>
              <w:t>学时，主要采用边理论讲课的方式。但本课程涉及设计基础的学习，且要求具有一定美术造型功底，和对物体有基本的审美能力。</w:t>
            </w:r>
          </w:p>
        </w:tc>
      </w:tr>
      <w:tr w14:paraId="3B9F0F24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583AA12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5C456D45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752475" cy="398780"/>
                  <wp:effectExtent l="0" t="0" r="0" b="0"/>
                  <wp:docPr id="2" name="图片 2" descr="/Users/ares/Library/Containers/com.kingsoft.wpsoffice.mac/Data/tmp/picturecompress_20260309110113/output_1.pngoutpu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/Users/ares/Library/Containers/com.kingsoft.wpsoffice.mac/Data/tmp/picturecompress_20260309110113/output_1.pngoutput_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398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37592E2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6EEAAA95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14:paraId="0717CE0D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014990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878840</wp:posOffset>
                  </wp:positionH>
                  <wp:positionV relativeFrom="paragraph">
                    <wp:posOffset>-79375</wp:posOffset>
                  </wp:positionV>
                  <wp:extent cx="665480" cy="409575"/>
                  <wp:effectExtent l="0" t="0" r="0" b="0"/>
                  <wp:wrapNone/>
                  <wp:docPr id="4" name="图片 4" descr="王志清主任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王志清主任签名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48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18025EC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434D49DF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14:paraId="49288E96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37487AA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729524EA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607060</wp:posOffset>
                  </wp:positionH>
                  <wp:positionV relativeFrom="paragraph">
                    <wp:posOffset>-635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6F4A333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865EC58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</w:tbl>
    <w:p w14:paraId="0E671D4E">
      <w:pPr>
        <w:spacing w:line="100" w:lineRule="exact"/>
        <w:rPr>
          <w:rFonts w:ascii="Arial" w:hAnsi="Arial" w:eastAsia="黑体"/>
        </w:rPr>
      </w:pPr>
      <w:r>
        <w:br w:type="page"/>
      </w:r>
    </w:p>
    <w:p w14:paraId="33F2E72F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4FA1CB46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00BD765B"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3187CE91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0C5A2E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718409C0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7F72240C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8DDD9E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>
            <w:pPr>
              <w:pStyle w:val="14"/>
              <w:jc w:val="left"/>
              <w:rPr>
                <w:rFonts w:ascii="宋体" w:hAnsi="宋体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Segoe UI" w:hAnsi="Segoe UI" w:cs="Segoe UI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帮助理解艺术与设计的演变过程、背后的文化动因以及它们在不同历史时期的作用与影响。</w:t>
            </w:r>
          </w:p>
        </w:tc>
      </w:tr>
      <w:tr w14:paraId="3C59B1FD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7176EF87">
            <w:pPr>
              <w:pStyle w:val="14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ACFF3B8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6C5C66B">
            <w:pPr>
              <w:pStyle w:val="14"/>
              <w:jc w:val="left"/>
              <w:rPr>
                <w:rFonts w:ascii="宋体" w:hAnsi="宋体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了解</w:t>
            </w:r>
            <w:r>
              <w:rPr>
                <w:rFonts w:ascii="Segoe UI" w:hAnsi="Segoe UI" w:cs="Segoe UI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不同时期、地区和文化的艺术作品和设计风格</w:t>
            </w:r>
          </w:p>
        </w:tc>
      </w:tr>
      <w:tr w14:paraId="30B147DF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FB4ADEE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1816AA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>
            <w:pPr>
              <w:pStyle w:val="14"/>
              <w:jc w:val="left"/>
              <w:rPr>
                <w:rFonts w:ascii="宋体" w:hAnsi="宋体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Segoe UI" w:hAnsi="Segoe UI" w:cs="Segoe UI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培养分析和评价艺术与设计作品的能力，包括对艺术品和设计风格的理解，以及对创作者意图的解读。</w:t>
            </w:r>
          </w:p>
        </w:tc>
      </w:tr>
      <w:tr w14:paraId="36B25042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1C1EFA33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B71353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11466A2">
            <w:pPr>
              <w:pStyle w:val="14"/>
              <w:jc w:val="left"/>
              <w:rPr>
                <w:rFonts w:ascii="宋体" w:hAnsi="宋体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Segoe UI" w:hAnsi="Segoe UI" w:cs="Segoe UI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培养跨文化比较的能力，能够理解不同文化背景下艺术与设计的异同之处，以及它们之间的相互影响。</w:t>
            </w:r>
          </w:p>
        </w:tc>
      </w:tr>
      <w:tr w14:paraId="43AA4C17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0AFC370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417F1853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D4EFA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5AF9FEA1">
            <w:pPr>
              <w:pStyle w:val="14"/>
              <w:jc w:val="left"/>
              <w:rPr>
                <w:rFonts w:ascii="宋体" w:hAnsi="宋体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cs="Times New Roman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专业知识与德育元素自然和谐，明确爱国、诚信、敬业、友爱的精神，建立符合社会主义道德要求的价值观。</w:t>
            </w:r>
          </w:p>
        </w:tc>
      </w:tr>
      <w:tr w14:paraId="4DAD8D23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38BD479D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071298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2053E60F">
            <w:pPr>
              <w:pStyle w:val="14"/>
              <w:jc w:val="left"/>
              <w:rPr>
                <w:rFonts w:ascii="宋体" w:hAnsi="宋体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熟悉本专业相关的法律法规，在实习实践中自觉遵守职业规范，具备职业道德操守。</w:t>
            </w:r>
          </w:p>
        </w:tc>
      </w:tr>
    </w:tbl>
    <w:p w14:paraId="089BD5FC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3DA0CF5">
        <w:tc>
          <w:tcPr>
            <w:tcW w:w="8296" w:type="dxa"/>
          </w:tcPr>
          <w:p w14:paraId="13C1F293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LO1品德修养</w:t>
            </w:r>
            <w:r>
              <w:rPr>
                <w:rFonts w:hint="eastAsia" w:asciiTheme="majorEastAsia" w:hAnsiTheme="majorEastAsia" w:eastAsiaTheme="majorEastAsia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655BF530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⑤</w:t>
            </w:r>
            <w:r>
              <w:rPr>
                <w:rFonts w:asciiTheme="majorEastAsia" w:hAnsiTheme="majorEastAsia" w:eastAsiaTheme="majorEastAsia"/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644F64E0">
        <w:tc>
          <w:tcPr>
            <w:tcW w:w="8296" w:type="dxa"/>
          </w:tcPr>
          <w:p w14:paraId="3E6C85A2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LO2专业能力</w:t>
            </w:r>
            <w:r>
              <w:rPr>
                <w:rFonts w:hint="eastAsia" w:cs="Times New Roman" w:asciiTheme="majorEastAsia" w:hAnsiTheme="majorEastAsia" w:eastAsiaTheme="majorEastAsia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 w14:paraId="012308A5">
        <w:tc>
          <w:tcPr>
            <w:tcW w:w="8296" w:type="dxa"/>
          </w:tcPr>
          <w:p w14:paraId="08F14BEA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asciiTheme="majorEastAsia" w:hAnsiTheme="majorEastAsia" w:eastAsiaTheme="majorEastAsia"/>
                <w:b/>
              </w:rPr>
              <w:t>LO4自主学习</w:t>
            </w:r>
            <w:r>
              <w:rPr>
                <w:rFonts w:asciiTheme="majorEastAsia" w:hAnsiTheme="majorEastAsia" w:eastAsiaTheme="majorEastAsia"/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34E2F022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②</w:t>
            </w:r>
            <w:r>
              <w:rPr>
                <w:rFonts w:asciiTheme="majorEastAsia" w:hAnsiTheme="majorEastAsia" w:eastAsiaTheme="majorEastAsia"/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 w14:paraId="6A27BE0A"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323E1193"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84B0D79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250B94C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6DE1400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2D9AEFC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BECB08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58667D92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94D883D">
            <w:pPr>
              <w:pStyle w:val="14"/>
            </w:pPr>
            <w:r>
              <w:rPr>
                <w:rFonts w:hint="eastAsia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4E705B22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765126D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Merge w:val="restart"/>
            <w:vAlign w:val="center"/>
          </w:tcPr>
          <w:p w14:paraId="61D5CC33">
            <w:pPr>
              <w:pStyle w:val="14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cs="Times New Roman" w:asciiTheme="majorEastAsia" w:hAnsiTheme="majorEastAsia" w:eastAsiaTheme="majorEastAsia"/>
              </w:rPr>
              <w:t>5.</w:t>
            </w:r>
            <w:r>
              <w:rPr>
                <w:rFonts w:hint="eastAsia" w:cs="Times New Roman" w:asciiTheme="majorEastAsia" w:hAnsiTheme="majorEastAsia" w:eastAsiaTheme="majorEastAsia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2079831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532748FA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EEC27D9">
            <w:pPr>
              <w:pStyle w:val="14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74C1998E">
            <w:pPr>
              <w:pStyle w:val="14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22CC1D0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Merge w:val="continue"/>
            <w:vAlign w:val="center"/>
          </w:tcPr>
          <w:p w14:paraId="03C300B6">
            <w:pPr>
              <w:pStyle w:val="14"/>
              <w:rPr>
                <w:rFonts w:asciiTheme="majorEastAsia" w:hAnsiTheme="majorEastAsia" w:eastAsiaTheme="majorEastAsia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AFEFC70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6D99A554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5C2C345">
            <w:pPr>
              <w:pStyle w:val="14"/>
            </w:pPr>
            <w:r>
              <w:rPr>
                <w:rFonts w:hint="eastAsia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4BCA33D0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732953F">
            <w:pPr>
              <w:pStyle w:val="14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H</w:t>
            </w:r>
          </w:p>
        </w:tc>
        <w:tc>
          <w:tcPr>
            <w:tcW w:w="4651" w:type="dxa"/>
            <w:vAlign w:val="center"/>
          </w:tcPr>
          <w:p w14:paraId="067AA3D9">
            <w:pPr>
              <w:pStyle w:val="14"/>
              <w:rPr>
                <w:rFonts w:asciiTheme="majorEastAsia" w:hAnsiTheme="majorEastAsia" w:eastAsiaTheme="majorEastAsia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cs="Times New Roman" w:asciiTheme="majorEastAsia" w:hAnsiTheme="majorEastAsia" w:eastAsiaTheme="maj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1.理解艺术设计史历史走向的概念。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9EC698A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2773B891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A686B52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2EA0087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6232FC7">
            <w:pPr>
              <w:pStyle w:val="14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4651" w:type="dxa"/>
            <w:vAlign w:val="center"/>
          </w:tcPr>
          <w:p w14:paraId="21274B25">
            <w:pPr>
              <w:pStyle w:val="14"/>
              <w:rPr>
                <w:rFonts w:asciiTheme="majorEastAsia" w:hAnsiTheme="majorEastAsia" w:eastAsiaTheme="majorEastAsia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2.能够掌握艺术设计史的基本知识。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B7A8CAD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6696D38B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D7C65EC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485EE101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AEACE22">
            <w:pPr>
              <w:pStyle w:val="14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4651" w:type="dxa"/>
            <w:vAlign w:val="center"/>
          </w:tcPr>
          <w:p w14:paraId="2DC7F9FE">
            <w:pPr>
              <w:pStyle w:val="14"/>
              <w:rPr>
                <w:rFonts w:asciiTheme="majorEastAsia" w:hAnsiTheme="majorEastAsia" w:eastAsiaTheme="majorEastAsia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3.</w:t>
            </w:r>
            <w:r>
              <w:rPr>
                <w:rFonts w:cs="Segoe UI" w:asciiTheme="majorEastAsia" w:hAnsiTheme="majorEastAsia" w:eastAsiaTheme="maj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cs="Segoe UI" w:asciiTheme="majorEastAsia" w:hAnsiTheme="majorEastAsia" w:eastAsiaTheme="maj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能够</w:t>
            </w:r>
            <w:r>
              <w:rPr>
                <w:rFonts w:cs="Segoe UI" w:asciiTheme="majorEastAsia" w:hAnsiTheme="majorEastAsia" w:eastAsiaTheme="maj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将设计理论应用于实际情境，理解设计作品背后的理论基础，从而更好地理解设计的目的和效果。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BCE5B70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51D5EEC6"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44549119">
            <w:pPr>
              <w:pStyle w:val="14"/>
            </w:pPr>
            <w:r>
              <w:rPr>
                <w:rFonts w:hint="eastAsia"/>
                <w:b/>
              </w:rPr>
              <w:t>LO4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7B4F4F5C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2CA4701D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tbl>
            <w:tblPr>
              <w:tblStyle w:val="7"/>
              <w:tblW w:w="0" w:type="auto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230FE7DD"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14:paraId="46F649EB">
                  <w:pPr>
                    <w:pStyle w:val="23"/>
                    <w:rPr>
                      <w:rFonts w:asciiTheme="majorEastAsia" w:hAnsiTheme="majorEastAsia" w:eastAsiaTheme="majorEastAsia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color w:val="000000"/>
                      <w:sz w:val="21"/>
                      <w:szCs w:val="21"/>
                    </w:rPr>
                    <w:t>4.</w:t>
                  </w:r>
                  <w:r>
                    <w:rPr>
                      <w:rFonts w:asciiTheme="majorEastAsia" w:hAnsiTheme="majorEastAsia" w:eastAsiaTheme="majorEastAsia"/>
                      <w:color w:val="000000"/>
                      <w:sz w:val="21"/>
                      <w:szCs w:val="21"/>
                    </w:rPr>
                    <w:t>具备</w:t>
                  </w:r>
                  <w:r>
                    <w:rPr>
                      <w:rFonts w:hint="eastAsia" w:cs="宋体" w:asciiTheme="majorEastAsia" w:hAnsiTheme="majorEastAsia" w:eastAsiaTheme="majorEastAsia"/>
                      <w:bCs/>
                      <w:sz w:val="21"/>
                      <w:szCs w:val="21"/>
                      <w:lang w:eastAsia="zh-Hans"/>
                    </w:rPr>
                    <w:t>获取专业前沿知识、技能的自主学习</w:t>
                  </w:r>
                  <w:r>
                    <w:rPr>
                      <w:rFonts w:hint="eastAsia" w:asciiTheme="majorEastAsia" w:hAnsiTheme="majorEastAsia" w:eastAsiaTheme="majorEastAsia"/>
                      <w:bCs/>
                      <w:sz w:val="21"/>
                      <w:szCs w:val="21"/>
                    </w:rPr>
                    <w:t>能力，</w:t>
                  </w:r>
                  <w:r>
                    <w:rPr>
                      <w:rFonts w:hint="eastAsia" w:cs="宋体" w:asciiTheme="majorEastAsia" w:hAnsiTheme="majorEastAsia" w:eastAsiaTheme="majorEastAsia"/>
                      <w:bCs/>
                      <w:sz w:val="21"/>
                      <w:szCs w:val="21"/>
                    </w:rPr>
                    <w:t>能搜集、获取达</w:t>
                  </w:r>
                </w:p>
                <w:p w14:paraId="717EA86A">
                  <w:pPr>
                    <w:pStyle w:val="23"/>
                    <w:rPr>
                      <w:rFonts w:asciiTheme="majorEastAsia" w:hAnsiTheme="majorEastAsia" w:eastAsiaTheme="major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cs="宋体" w:asciiTheme="majorEastAsia" w:hAnsiTheme="majorEastAsia" w:eastAsiaTheme="majorEastAsia"/>
                      <w:bCs/>
                      <w:sz w:val="21"/>
                      <w:szCs w:val="21"/>
                    </w:rPr>
                    <w:t>到目标所需要的学习</w:t>
                  </w:r>
                  <w:r>
                    <w:rPr>
                      <w:rFonts w:hint="eastAsia" w:asciiTheme="majorEastAsia" w:hAnsiTheme="majorEastAsia" w:eastAsiaTheme="majorEastAsia"/>
                      <w:bCs/>
                      <w:sz w:val="21"/>
                      <w:szCs w:val="21"/>
                    </w:rPr>
                    <w:t>资源的能力。</w:t>
                  </w:r>
                </w:p>
              </w:tc>
            </w:tr>
          </w:tbl>
          <w:p w14:paraId="7E6D72C1">
            <w:pPr>
              <w:pStyle w:val="14"/>
              <w:rPr>
                <w:rFonts w:asciiTheme="majorEastAsia" w:hAnsiTheme="majorEastAsia" w:eastAsiaTheme="majorEastAsia"/>
                <w:bCs/>
              </w:rPr>
            </w:pP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7D858DD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26C7989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3DE4CAB0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AD320BA">
        <w:tc>
          <w:tcPr>
            <w:tcW w:w="8296" w:type="dxa"/>
          </w:tcPr>
          <w:p w14:paraId="3DA13A7C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bookmarkStart w:id="0" w:name="OLE_LINK5"/>
            <w:bookmarkStart w:id="1" w:name="OLE_LINK6"/>
            <w:r>
              <w:rPr>
                <w:rFonts w:hint="eastAsia" w:cs="Arial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cs="Arial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cs="Arial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现代设计概述</w:t>
            </w:r>
          </w:p>
          <w:p w14:paraId="26D09F27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世界现代设计的发展历程梳理</w:t>
            </w:r>
          </w:p>
          <w:p w14:paraId="54856127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现代设计的前奏——工艺美术运动</w:t>
            </w:r>
          </w:p>
          <w:p w14:paraId="615061D4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新艺术运动</w:t>
            </w:r>
          </w:p>
          <w:p w14:paraId="3C618643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现代设计的演进中——装饰运动</w:t>
            </w:r>
          </w:p>
          <w:p w14:paraId="37A923D2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现代主义设计运动1</w:t>
            </w:r>
          </w:p>
          <w:p w14:paraId="3AA82EF1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现代主义设计运动2</w:t>
            </w:r>
          </w:p>
          <w:p w14:paraId="495B34F8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工业设计的兴起和现代设计的职业化</w:t>
            </w:r>
          </w:p>
          <w:p w14:paraId="2071E8A8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现代设计的成熟时期</w:t>
            </w:r>
          </w:p>
          <w:p w14:paraId="43FEB0B0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中期复习</w:t>
            </w:r>
          </w:p>
          <w:p w14:paraId="05444EEB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中国现代艺术设计</w:t>
            </w:r>
          </w:p>
          <w:p w14:paraId="5A211B29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设计中的创意思维</w:t>
            </w:r>
          </w:p>
          <w:p w14:paraId="71B3A17B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设计的多元化发展</w:t>
            </w:r>
          </w:p>
          <w:p w14:paraId="2072D0A2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4.</w:t>
            </w: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设计多元化的发展—后现代主义时期</w:t>
            </w:r>
          </w:p>
          <w:p w14:paraId="62062DF0">
            <w:pPr>
              <w:pStyle w:val="14"/>
              <w:widowControl w:val="0"/>
              <w:jc w:val="left"/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现代主义和后现代主义的区别</w:t>
            </w:r>
          </w:p>
          <w:p w14:paraId="66AAA043">
            <w:pPr>
              <w:pStyle w:val="14"/>
              <w:widowControl w:val="0"/>
              <w:jc w:val="left"/>
              <w:rPr>
                <w:rFonts w:ascii="仿宋" w:hAnsi="仿宋" w:eastAsia="仿宋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6.</w:t>
            </w: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考试复习</w:t>
            </w:r>
          </w:p>
        </w:tc>
      </w:tr>
      <w:bookmarkEnd w:id="0"/>
      <w:bookmarkEnd w:id="1"/>
    </w:tbl>
    <w:p w14:paraId="52354DC4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63"/>
        <w:gridCol w:w="815"/>
        <w:gridCol w:w="1100"/>
        <w:gridCol w:w="1100"/>
        <w:gridCol w:w="1099"/>
        <w:gridCol w:w="1099"/>
        <w:gridCol w:w="1100"/>
      </w:tblGrid>
      <w:tr w14:paraId="6E136B53">
        <w:trPr>
          <w:trHeight w:val="794" w:hRule="atLeast"/>
          <w:jc w:val="center"/>
        </w:trPr>
        <w:tc>
          <w:tcPr>
            <w:tcW w:w="2112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29966259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0AE0367F">
            <w:pPr>
              <w:pStyle w:val="13"/>
              <w:ind w:right="210"/>
              <w:jc w:val="left"/>
              <w:rPr>
                <w:szCs w:val="16"/>
              </w:rPr>
            </w:pPr>
          </w:p>
          <w:p w14:paraId="7E85CCEC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796" w:type="dxa"/>
            <w:tcBorders>
              <w:top w:val="single" w:color="auto" w:sz="12" w:space="0"/>
            </w:tcBorders>
            <w:vAlign w:val="center"/>
          </w:tcPr>
          <w:p w14:paraId="6598841B">
            <w:pPr>
              <w:pStyle w:val="13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5609833D">
            <w:pPr>
              <w:pStyle w:val="13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23C6C844">
            <w:pPr>
              <w:pStyle w:val="13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33156666">
            <w:pPr>
              <w:pStyle w:val="13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45C7EE8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2158AD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14:paraId="219BBA36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2FBDDB88">
            <w:pPr>
              <w:pStyle w:val="14"/>
              <w:jc w:val="left"/>
            </w:pPr>
            <w:r>
              <w:rPr>
                <w:rFonts w:hint="eastAsia" w:cs="Arial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cs="Arial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cs="Arial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现代设计概述</w:t>
            </w:r>
          </w:p>
        </w:tc>
        <w:tc>
          <w:tcPr>
            <w:tcW w:w="796" w:type="dxa"/>
            <w:vAlign w:val="center"/>
          </w:tcPr>
          <w:p w14:paraId="786ED503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37943175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68F1D2A4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20FC507B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5A018960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800108E">
            <w:pPr>
              <w:pStyle w:val="14"/>
            </w:pPr>
          </w:p>
        </w:tc>
      </w:tr>
      <w:tr w14:paraId="2E9B56BD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6E43803B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世界现代设计的发展历程梳理</w:t>
            </w:r>
          </w:p>
        </w:tc>
        <w:tc>
          <w:tcPr>
            <w:tcW w:w="796" w:type="dxa"/>
            <w:vAlign w:val="center"/>
          </w:tcPr>
          <w:p w14:paraId="3833F6F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0FECAF07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22F64818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74FA59A3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4418E6E9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A5F4453">
            <w:pPr>
              <w:pStyle w:val="14"/>
            </w:pPr>
          </w:p>
        </w:tc>
      </w:tr>
      <w:tr w14:paraId="03D29C0A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185B5B84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现代设计的前奏——工艺美术运动</w:t>
            </w:r>
          </w:p>
        </w:tc>
        <w:tc>
          <w:tcPr>
            <w:tcW w:w="796" w:type="dxa"/>
            <w:vAlign w:val="center"/>
          </w:tcPr>
          <w:p w14:paraId="4DEA4A96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4804FEF4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5E7FFDC7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172B8B70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6719AEE5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5F5781B3">
            <w:pPr>
              <w:pStyle w:val="14"/>
            </w:pPr>
          </w:p>
        </w:tc>
      </w:tr>
      <w:tr w14:paraId="28D820AA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19691C11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新艺术运动</w:t>
            </w:r>
          </w:p>
        </w:tc>
        <w:tc>
          <w:tcPr>
            <w:tcW w:w="796" w:type="dxa"/>
            <w:vAlign w:val="center"/>
          </w:tcPr>
          <w:p w14:paraId="70668606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283089D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6923F7A8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23E0D4FB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035758B6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48F2E215">
            <w:pPr>
              <w:pStyle w:val="14"/>
            </w:pPr>
          </w:p>
        </w:tc>
      </w:tr>
      <w:tr w14:paraId="79CCECB7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78FE357B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现代设计的演进中——装饰运动</w:t>
            </w:r>
          </w:p>
        </w:tc>
        <w:tc>
          <w:tcPr>
            <w:tcW w:w="796" w:type="dxa"/>
          </w:tcPr>
          <w:p w14:paraId="4B56B1FC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57F6E597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35D2B1EA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6F003299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75A21A8E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66E1A6E7">
            <w:pPr>
              <w:pStyle w:val="14"/>
            </w:pPr>
          </w:p>
        </w:tc>
      </w:tr>
      <w:tr w14:paraId="21ABC01E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108B198E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现代主义设计运动1</w:t>
            </w:r>
          </w:p>
        </w:tc>
        <w:tc>
          <w:tcPr>
            <w:tcW w:w="796" w:type="dxa"/>
          </w:tcPr>
          <w:p w14:paraId="436022A5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5A1DE769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48438E5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62B7BE3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3E087F46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6707649D">
            <w:pPr>
              <w:pStyle w:val="14"/>
            </w:pPr>
          </w:p>
        </w:tc>
      </w:tr>
      <w:tr w14:paraId="2B5BBFE3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5134D9B6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现代主义设计运动2</w:t>
            </w:r>
          </w:p>
        </w:tc>
        <w:tc>
          <w:tcPr>
            <w:tcW w:w="796" w:type="dxa"/>
          </w:tcPr>
          <w:p w14:paraId="7390FB3F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1C03A1D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52638134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4E607D29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66AE5C7E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4A1F3C5E">
            <w:pPr>
              <w:pStyle w:val="14"/>
            </w:pPr>
          </w:p>
        </w:tc>
      </w:tr>
      <w:tr w14:paraId="7CD1178C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40D9D0D2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工业设计的兴起和现代设计的职业化</w:t>
            </w:r>
          </w:p>
        </w:tc>
        <w:tc>
          <w:tcPr>
            <w:tcW w:w="796" w:type="dxa"/>
          </w:tcPr>
          <w:p w14:paraId="7F2CF04A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7A0B30AE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1A576F56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2756EDEA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4CF20246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7B4E1037">
            <w:pPr>
              <w:pStyle w:val="14"/>
            </w:pPr>
          </w:p>
        </w:tc>
      </w:tr>
      <w:tr w14:paraId="529F4D8D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19AA8FC6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现代设计的成熟时期</w:t>
            </w:r>
          </w:p>
        </w:tc>
        <w:tc>
          <w:tcPr>
            <w:tcW w:w="796" w:type="dxa"/>
          </w:tcPr>
          <w:p w14:paraId="3F5A6E2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0B3FC19B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27F31414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335602A8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05B0B423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66FB52AB">
            <w:pPr>
              <w:pStyle w:val="14"/>
            </w:pPr>
          </w:p>
        </w:tc>
      </w:tr>
      <w:tr w14:paraId="25AA3696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61F7708D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中期复习</w:t>
            </w:r>
          </w:p>
        </w:tc>
        <w:tc>
          <w:tcPr>
            <w:tcW w:w="796" w:type="dxa"/>
            <w:vAlign w:val="center"/>
          </w:tcPr>
          <w:p w14:paraId="6CA5CD14">
            <w:pPr>
              <w:pStyle w:val="14"/>
            </w:pPr>
          </w:p>
        </w:tc>
        <w:tc>
          <w:tcPr>
            <w:tcW w:w="1074" w:type="dxa"/>
            <w:vAlign w:val="center"/>
          </w:tcPr>
          <w:p w14:paraId="2FB95BC6">
            <w:pPr>
              <w:pStyle w:val="14"/>
            </w:pPr>
          </w:p>
        </w:tc>
        <w:tc>
          <w:tcPr>
            <w:tcW w:w="1074" w:type="dxa"/>
          </w:tcPr>
          <w:p w14:paraId="750276CB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7A944EF7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26A65870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</w:tcPr>
          <w:p w14:paraId="569B7A28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3A594628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65DBED83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中国现代艺术设计</w:t>
            </w:r>
          </w:p>
        </w:tc>
        <w:tc>
          <w:tcPr>
            <w:tcW w:w="796" w:type="dxa"/>
          </w:tcPr>
          <w:p w14:paraId="41339D7F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742DF8FC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22B5D24F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3451F6CB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47759845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55F76B2">
            <w:pPr>
              <w:pStyle w:val="14"/>
            </w:pPr>
          </w:p>
        </w:tc>
      </w:tr>
      <w:tr w14:paraId="1C49BD67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1889E5D7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:kern w:val="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设计中的创意思维</w:t>
            </w:r>
          </w:p>
        </w:tc>
        <w:tc>
          <w:tcPr>
            <w:tcW w:w="796" w:type="dxa"/>
          </w:tcPr>
          <w:p w14:paraId="7D4331DC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15DCAD13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4DE877F6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6A4EEBD6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70BA57EA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37CBB0C8">
            <w:pPr>
              <w:pStyle w:val="14"/>
            </w:pPr>
          </w:p>
        </w:tc>
      </w:tr>
      <w:tr w14:paraId="5F967BF2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7B0613FC">
            <w:pPr>
              <w:pStyle w:val="14"/>
              <w:jc w:val="left"/>
            </w:pP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设计的多元化发展</w:t>
            </w:r>
          </w:p>
        </w:tc>
        <w:tc>
          <w:tcPr>
            <w:tcW w:w="796" w:type="dxa"/>
          </w:tcPr>
          <w:p w14:paraId="3339AE1F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46D9B39A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28CBFAB5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345DAA7A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0861D10E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2B9DCB8C">
            <w:pPr>
              <w:pStyle w:val="14"/>
            </w:pPr>
          </w:p>
        </w:tc>
      </w:tr>
      <w:tr w14:paraId="10AC6891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738F2216">
            <w:pPr>
              <w:pStyle w:val="14"/>
              <w:jc w:val="left"/>
            </w:pP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4.</w:t>
            </w: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设计多元化的发展—后现代主义时期</w:t>
            </w:r>
          </w:p>
        </w:tc>
        <w:tc>
          <w:tcPr>
            <w:tcW w:w="796" w:type="dxa"/>
          </w:tcPr>
          <w:p w14:paraId="551B885F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1C4B9163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1A153385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3A6643C4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004296DD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15A25BE7">
            <w:pPr>
              <w:pStyle w:val="14"/>
            </w:pPr>
          </w:p>
        </w:tc>
      </w:tr>
      <w:tr w14:paraId="68E338C7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12D13488">
            <w:pPr>
              <w:pStyle w:val="14"/>
              <w:jc w:val="left"/>
            </w:pP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5.</w:t>
            </w:r>
            <w:r>
              <w:rPr>
                <w:rFonts w:hint="eastAsia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现代主义和后现代主义的区别</w:t>
            </w:r>
          </w:p>
        </w:tc>
        <w:tc>
          <w:tcPr>
            <w:tcW w:w="796" w:type="dxa"/>
          </w:tcPr>
          <w:p w14:paraId="7ED90DC9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67F2C3B0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</w:tcPr>
          <w:p w14:paraId="674A37E3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</w:tcPr>
          <w:p w14:paraId="254EF075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606B8F0B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195B9155">
            <w:pPr>
              <w:pStyle w:val="14"/>
            </w:pPr>
          </w:p>
        </w:tc>
      </w:tr>
      <w:tr w14:paraId="37E18453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  <w:bottom w:val="single" w:color="auto" w:sz="12" w:space="0"/>
            </w:tcBorders>
          </w:tcPr>
          <w:p w14:paraId="515DD9DD">
            <w:pPr>
              <w:pStyle w:val="14"/>
              <w:jc w:val="left"/>
            </w:pP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6.</w:t>
            </w:r>
            <w:r>
              <w:rPr>
                <w:rFonts w:hint="eastAsia" w:cs="Times New Roman" w:asciiTheme="minorEastAsia" w:hAnsiTheme="minorEastAsia" w:eastAsia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考试复习</w:t>
            </w:r>
          </w:p>
        </w:tc>
        <w:tc>
          <w:tcPr>
            <w:tcW w:w="796" w:type="dxa"/>
            <w:tcBorders>
              <w:bottom w:val="single" w:color="auto" w:sz="12" w:space="0"/>
            </w:tcBorders>
            <w:vAlign w:val="center"/>
          </w:tcPr>
          <w:p w14:paraId="187BC748">
            <w:pPr>
              <w:pStyle w:val="14"/>
            </w:pP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5F98E062">
            <w:pPr>
              <w:pStyle w:val="14"/>
            </w:pPr>
          </w:p>
        </w:tc>
        <w:tc>
          <w:tcPr>
            <w:tcW w:w="1074" w:type="dxa"/>
            <w:tcBorders>
              <w:bottom w:val="single" w:color="auto" w:sz="12" w:space="0"/>
            </w:tcBorders>
          </w:tcPr>
          <w:p w14:paraId="06E4F788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tcBorders>
              <w:bottom w:val="single" w:color="auto" w:sz="12" w:space="0"/>
            </w:tcBorders>
          </w:tcPr>
          <w:p w14:paraId="18F8CD69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1BED070B">
            <w:pPr>
              <w:pStyle w:val="14"/>
            </w:pPr>
          </w:p>
        </w:tc>
        <w:tc>
          <w:tcPr>
            <w:tcW w:w="107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F33F8ED">
            <w:pPr>
              <w:pStyle w:val="14"/>
            </w:pPr>
          </w:p>
        </w:tc>
      </w:tr>
    </w:tbl>
    <w:p w14:paraId="5ABFEF30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20D0CF15">
        <w:trPr>
          <w:trHeight w:val="340" w:hRule="atLeast"/>
          <w:jc w:val="center"/>
        </w:trPr>
        <w:tc>
          <w:tcPr>
            <w:tcW w:w="182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047EB9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color="auto" w:sz="12" w:space="0"/>
            </w:tcBorders>
            <w:vAlign w:val="center"/>
          </w:tcPr>
          <w:p w14:paraId="3226C472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24EA7652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44B1E29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4D5131F7">
        <w:trPr>
          <w:trHeight w:val="340" w:hRule="atLeast"/>
          <w:jc w:val="center"/>
        </w:trPr>
        <w:tc>
          <w:tcPr>
            <w:tcW w:w="1828" w:type="dxa"/>
            <w:vMerge w:val="continue"/>
            <w:tcBorders>
              <w:left w:val="single" w:color="auto" w:sz="12" w:space="0"/>
            </w:tcBorders>
          </w:tcPr>
          <w:p w14:paraId="05A5175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690" w:type="dxa"/>
            <w:vMerge w:val="continue"/>
          </w:tcPr>
          <w:p w14:paraId="297D661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4B040DC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1F103F1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561309D8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EF6BE0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现代设计的前奏—三大运动</w:t>
            </w:r>
          </w:p>
        </w:tc>
        <w:tc>
          <w:tcPr>
            <w:tcW w:w="2690" w:type="dxa"/>
          </w:tcPr>
          <w:p w14:paraId="1AE5D317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1"/>
                <w:szCs w:val="21"/>
              </w:rPr>
              <w:t>提高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1"/>
                <w:szCs w:val="21"/>
              </w:rPr>
              <w:t>具备设计素养与审美能力。掌握基础造型、设计基础、设计原理、美学素养等知识要点，提高艺术设计审美能力和创造力。</w:t>
            </w:r>
          </w:p>
        </w:tc>
        <w:tc>
          <w:tcPr>
            <w:tcW w:w="1697" w:type="dxa"/>
            <w:vAlign w:val="center"/>
          </w:tcPr>
          <w:p w14:paraId="1671CBB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7DDFCF1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9</w:t>
            </w:r>
          </w:p>
        </w:tc>
        <w:tc>
          <w:tcPr>
            <w:tcW w:w="653" w:type="dxa"/>
            <w:vAlign w:val="center"/>
          </w:tcPr>
          <w:p w14:paraId="0E18152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CF109D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1</w:t>
            </w:r>
          </w:p>
        </w:tc>
      </w:tr>
      <w:tr w14:paraId="13ACC6F2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36D78A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工业设计的兴起</w:t>
            </w:r>
          </w:p>
        </w:tc>
        <w:tc>
          <w:tcPr>
            <w:tcW w:w="2690" w:type="dxa"/>
          </w:tcPr>
          <w:p w14:paraId="09BAD965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bCs/>
                <w:color w:val="000000"/>
                <w:sz w:val="21"/>
                <w:szCs w:val="21"/>
              </w:rPr>
              <w:t>具备一定的信息素养，并能在工作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1"/>
                <w:szCs w:val="21"/>
              </w:rPr>
              <w:t>学习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1"/>
                <w:szCs w:val="21"/>
              </w:rPr>
              <w:t>中应用信息技术解决问题。</w:t>
            </w:r>
          </w:p>
        </w:tc>
        <w:tc>
          <w:tcPr>
            <w:tcW w:w="1697" w:type="dxa"/>
          </w:tcPr>
          <w:p w14:paraId="6456A21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0329DA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9</w:t>
            </w:r>
          </w:p>
        </w:tc>
        <w:tc>
          <w:tcPr>
            <w:tcW w:w="653" w:type="dxa"/>
            <w:vAlign w:val="center"/>
          </w:tcPr>
          <w:p w14:paraId="10D7F99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88E3C5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1</w:t>
            </w:r>
          </w:p>
        </w:tc>
      </w:tr>
      <w:tr w14:paraId="425114FD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6658EB6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设计的多元化</w:t>
            </w:r>
          </w:p>
        </w:tc>
        <w:tc>
          <w:tcPr>
            <w:tcW w:w="2690" w:type="dxa"/>
          </w:tcPr>
          <w:p w14:paraId="7C4AF4A7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bCs/>
                <w:color w:val="000000"/>
                <w:sz w:val="21"/>
                <w:szCs w:val="21"/>
              </w:rPr>
              <w:t>具有基本的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1"/>
                <w:szCs w:val="21"/>
              </w:rPr>
              <w:t>文化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1"/>
                <w:szCs w:val="21"/>
              </w:rPr>
              <w:t>表达沟通能力与跨文化理解能力，有国际竞争与合作的意识</w:t>
            </w:r>
          </w:p>
        </w:tc>
        <w:tc>
          <w:tcPr>
            <w:tcW w:w="1697" w:type="dxa"/>
          </w:tcPr>
          <w:p w14:paraId="054C380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29893A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1264E6D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3F8FEB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0</w:t>
            </w:r>
          </w:p>
        </w:tc>
      </w:tr>
      <w:tr w14:paraId="34816BAC"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994175A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1554EAD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75C137E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089986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</w:tr>
    </w:tbl>
    <w:p w14:paraId="7A09098F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1882"/>
        <w:gridCol w:w="4061"/>
        <w:gridCol w:w="862"/>
        <w:gridCol w:w="950"/>
      </w:tblGrid>
      <w:tr w14:paraId="4192B08C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1B77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9860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D2522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7D6A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5FF757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D78BF7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344B233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1F110DB3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BD436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8DDEE">
            <w:pPr>
              <w:pStyle w:val="14"/>
            </w:pPr>
            <w:r>
              <w:rPr>
                <w:rFonts w:hint="eastAsia"/>
                <w:bCs/>
              </w:rPr>
              <w:t>现代设计的前奏—三大运动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3DA2">
            <w:pPr>
              <w:pStyle w:val="14"/>
              <w:jc w:val="left"/>
            </w:pPr>
            <w:r>
              <w:rPr>
                <w:rFonts w:ascii="Segoe UI" w:hAnsi="Segoe UI" w:cs="Segoe UI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前奏运动在不同的地区和时期内催生了新的思潮和创新，为现代设计的崛起提供了理论和实践的基础。在这些前奏运动的影响下，现代设计逐渐摆脱了传统的束缚，迎来了更加开创性和实验性的时代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20F38">
            <w:pPr>
              <w:pStyle w:val="14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98E9C5A">
            <w:pPr>
              <w:pStyle w:val="14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0BBD4F31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7602B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15127">
            <w:pPr>
              <w:pStyle w:val="14"/>
            </w:pPr>
            <w:r>
              <w:rPr>
                <w:rFonts w:hint="eastAsia"/>
                <w:bCs/>
              </w:rPr>
              <w:t>工业设计的兴起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7432">
            <w:pPr>
              <w:pStyle w:val="14"/>
              <w:jc w:val="left"/>
            </w:pPr>
            <w:r>
              <w:rPr>
                <w:rFonts w:ascii="Segoe UI" w:hAnsi="Segoe UI" w:cs="Segoe UI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工业设计的兴起经历了从手工艺到机械生产、从功能主义到美学追求的演变，最终形成了一个综合性的设计理念。它不仅关注产品的外观和使用功能，还关注用户体验、可持续性和社会影响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ADAE5">
            <w:pPr>
              <w:pStyle w:val="14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6CC6EA4">
            <w:pPr>
              <w:pStyle w:val="14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78790C76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3B475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EEC68">
            <w:pPr>
              <w:pStyle w:val="14"/>
            </w:pPr>
            <w:r>
              <w:rPr>
                <w:rFonts w:hint="eastAsia"/>
                <w:bCs/>
              </w:rPr>
              <w:t>设计的多元化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2D7A">
            <w:pPr>
              <w:pStyle w:val="14"/>
              <w:jc w:val="left"/>
            </w:pPr>
            <w:r>
              <w:rPr>
                <w:rFonts w:ascii="Segoe UI" w:hAnsi="Segoe UI" w:cs="Segoe UI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世界艺术现代史中的多元化设计反映了设计师对不同文化、观念和风格的开放态度。这种多元化设计推动了创新，为设计领域带来了更为丰富和复杂的表达方式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96C38">
            <w:pPr>
              <w:pStyle w:val="14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0195FB2">
            <w:pPr>
              <w:pStyle w:val="14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1A621397"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27D6B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4A6079A1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1"/>
      <w:bookmarkStart w:id="3" w:name="OLE_LINK2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25E923BC">
        <w:trPr>
          <w:trHeight w:val="1128" w:hRule="atLeast"/>
        </w:trPr>
        <w:tc>
          <w:tcPr>
            <w:tcW w:w="8276" w:type="dxa"/>
            <w:vAlign w:val="center"/>
          </w:tcPr>
          <w:p w14:paraId="15F6EE9B">
            <w:pPr>
              <w:pStyle w:val="14"/>
              <w:widowControl w:val="0"/>
              <w:ind w:firstLine="420" w:firstLineChars="200"/>
              <w:jc w:val="left"/>
              <w:rPr>
                <w:bCs/>
              </w:rPr>
            </w:pP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  <w:p w14:paraId="5A1D022B">
            <w:pPr>
              <w:pStyle w:val="14"/>
              <w:widowControl w:val="0"/>
              <w:ind w:firstLine="420" w:firstLineChars="200"/>
              <w:jc w:val="left"/>
            </w:pPr>
            <w:r>
              <w:rPr>
                <w:rFonts w:hint="eastAsia"/>
                <w:bCs/>
              </w:rPr>
              <w:t>具体讲授过程：首先，专业知识必须进行深入浅出的讲解，注意与学生实时互动，营造课堂氛围; 然后，结合知识点将具有共性的思政点融入。融入的方式要做到启承婉转、巧妙自然; 融入效果要做到潜移默化、润物无声; 之后，再次引入</w:t>
            </w:r>
            <w:r>
              <w:rPr>
                <w:bCs/>
              </w:rPr>
              <w:t>自觉遵守职业规范，具备职业道德操守</w:t>
            </w:r>
            <w:r>
              <w:rPr>
                <w:rFonts w:hint="eastAsia"/>
                <w:bCs/>
              </w:rPr>
              <w:t>等内容，通过互动讨论对学生进行价值引导，最后回归教学目标，将思政素养落实到学生的行动中。</w:t>
            </w:r>
          </w:p>
        </w:tc>
      </w:tr>
    </w:tbl>
    <w:p w14:paraId="13F3A459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4D296EA1"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307AA7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08240BA6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4DFC742A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4D04D342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082F720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4AA26404"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2CEA653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738C857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72218CF5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B0A7718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3B87B02E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F7EB418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1ACFDF5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33B74E7E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186A8CA5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62E91C4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3EFB04E4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498606A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35BA31A6">
            <w:pPr>
              <w:pStyle w:val="14"/>
              <w:widowControl w:val="0"/>
            </w:pPr>
            <w:r>
              <w:rPr>
                <w:rFonts w:hint="eastAsia"/>
              </w:rPr>
              <w:t>4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02F7EF4">
            <w:pPr>
              <w:pStyle w:val="14"/>
              <w:widowControl w:val="0"/>
            </w:pPr>
            <w:r>
              <w:rPr>
                <w:rFonts w:hint="eastAsia"/>
              </w:rPr>
              <w:t>考试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24F71567">
            <w:pPr>
              <w:pStyle w:val="14"/>
              <w:widowControl w:val="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4EBA91CC">
            <w:pPr>
              <w:pStyle w:val="14"/>
              <w:widowControl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612" w:type="dxa"/>
            <w:vAlign w:val="center"/>
          </w:tcPr>
          <w:p w14:paraId="7AC21C0D">
            <w:pPr>
              <w:pStyle w:val="14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 w14:paraId="430F863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59DE9AA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561A033C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36D4C299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DFAB409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EF76E7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35561B62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6A92CAE">
            <w:pPr>
              <w:pStyle w:val="14"/>
              <w:widowControl w:val="0"/>
            </w:pPr>
            <w:r>
              <w:rPr>
                <w:rFonts w:hint="eastAsia"/>
              </w:rPr>
              <w:t>分析报告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E63E94F">
            <w:pPr>
              <w:pStyle w:val="14"/>
              <w:widowControl w:val="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2833F605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3C7BBD66">
            <w:pPr>
              <w:pStyle w:val="14"/>
              <w:widowControl w:val="0"/>
            </w:pPr>
            <w:r>
              <w:t>30</w:t>
            </w:r>
          </w:p>
        </w:tc>
        <w:tc>
          <w:tcPr>
            <w:tcW w:w="612" w:type="dxa"/>
            <w:vAlign w:val="center"/>
          </w:tcPr>
          <w:p w14:paraId="43654901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FAE935E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7583520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6510DDF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2DA11EB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5D9ABF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3AA5FAE4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60E4A998">
            <w:pPr>
              <w:pStyle w:val="14"/>
              <w:widowControl w:val="0"/>
            </w:pPr>
            <w:r>
              <w:rPr>
                <w:rFonts w:hint="eastAsia"/>
              </w:rPr>
              <w:t>心得体会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50F1107">
            <w:pPr>
              <w:pStyle w:val="14"/>
              <w:widowControl w:val="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69878D1A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7907A5AF">
            <w:pPr>
              <w:pStyle w:val="14"/>
              <w:widowControl w:val="0"/>
            </w:pPr>
            <w:r>
              <w:t>30</w:t>
            </w:r>
          </w:p>
        </w:tc>
        <w:tc>
          <w:tcPr>
            <w:tcW w:w="612" w:type="dxa"/>
            <w:vAlign w:val="center"/>
          </w:tcPr>
          <w:p w14:paraId="0C96DB77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26E2785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6EED124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667BBD9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6C6CCAD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2EE34E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3770FF54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06FEE5E">
            <w:pPr>
              <w:pStyle w:val="14"/>
              <w:widowControl w:val="0"/>
            </w:pPr>
            <w:r>
              <w:rPr>
                <w:rFonts w:hint="eastAsia"/>
              </w:rPr>
              <w:t>分析报告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7600F008">
            <w:pPr>
              <w:pStyle w:val="14"/>
              <w:widowControl w:val="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0EA35378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103C36DB">
            <w:pPr>
              <w:pStyle w:val="14"/>
              <w:widowControl w:val="0"/>
            </w:pPr>
            <w:r>
              <w:t>30</w:t>
            </w:r>
          </w:p>
        </w:tc>
        <w:tc>
          <w:tcPr>
            <w:tcW w:w="612" w:type="dxa"/>
            <w:vAlign w:val="center"/>
          </w:tcPr>
          <w:p w14:paraId="04FFF8D5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AF9C982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BB48108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4F463E76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5B9B9A4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157A54AC"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1158541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049E5F6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4ABFC27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399468A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0D80DB6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236E432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58141519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451754C6">
        <w:trPr>
          <w:trHeight w:val="283" w:hRule="atLeast"/>
        </w:trPr>
        <w:tc>
          <w:tcPr>
            <w:tcW w:w="613" w:type="dxa"/>
            <w:vMerge w:val="continue"/>
          </w:tcPr>
          <w:p w14:paraId="110F163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0AD4EE24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25C09599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837E31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4310321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5F5E676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43B2E75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4160C7A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38D8E2A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737B2FD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57E69CB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0168DF69">
        <w:trPr>
          <w:trHeight w:val="454" w:hRule="atLeast"/>
        </w:trPr>
        <w:tc>
          <w:tcPr>
            <w:tcW w:w="613" w:type="dxa"/>
            <w:vAlign w:val="center"/>
          </w:tcPr>
          <w:p w14:paraId="2B1C1B8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1C39B1A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1403" w:type="dxa"/>
          </w:tcPr>
          <w:p w14:paraId="6C60948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理解艺术与设计的演变过程、背后的文化动因以及它们在不同历史时期的作用与影响。</w:t>
            </w:r>
          </w:p>
        </w:tc>
        <w:tc>
          <w:tcPr>
            <w:tcW w:w="1403" w:type="dxa"/>
          </w:tcPr>
          <w:p w14:paraId="502DEDFB">
            <w:pPr>
              <w:pStyle w:val="14"/>
              <w:widowControl w:val="0"/>
              <w:jc w:val="left"/>
              <w:rPr>
                <w:sz w:val="19"/>
                <w:szCs w:val="19"/>
              </w:rPr>
            </w:pP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理解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了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艺术与设计的演变过程、背后的文化动因以及它们在不同历史时期的作用与影响。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有自己的观点，并答题符合标准答案</w:t>
            </w:r>
          </w:p>
        </w:tc>
        <w:tc>
          <w:tcPr>
            <w:tcW w:w="1403" w:type="dxa"/>
          </w:tcPr>
          <w:p w14:paraId="0D0F9D37">
            <w:pPr>
              <w:pStyle w:val="14"/>
              <w:widowControl w:val="0"/>
              <w:jc w:val="left"/>
              <w:rPr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基本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理解艺术与设计的演变过程、背后的文化动因以及它们在不同历史时期的作用与影响。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答题符合标准答案的关键点信息</w:t>
            </w:r>
          </w:p>
        </w:tc>
        <w:tc>
          <w:tcPr>
            <w:tcW w:w="1403" w:type="dxa"/>
          </w:tcPr>
          <w:p w14:paraId="2B0EF117">
            <w:pPr>
              <w:pStyle w:val="14"/>
              <w:widowControl w:val="0"/>
              <w:jc w:val="left"/>
              <w:rPr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一般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理解艺术与设计的演变过程、背后的文化动因以及它们在不同历史时期的作用与影响。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答题符合标准答案的关键点信息</w:t>
            </w:r>
          </w:p>
        </w:tc>
        <w:tc>
          <w:tcPr>
            <w:tcW w:w="1403" w:type="dxa"/>
          </w:tcPr>
          <w:p w14:paraId="7743DC57">
            <w:pPr>
              <w:pStyle w:val="6"/>
              <w:widowControl/>
              <w:shd w:val="clear" w:color="auto" w:fill="FFFFFF"/>
              <w:jc w:val="left"/>
              <w:rPr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没有理解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理解艺术与设计的演变过程、背后的文化动因以及它们在不同历史时期的作用与影响。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答题不符合标准答案的关键点信息</w:t>
            </w:r>
          </w:p>
        </w:tc>
      </w:tr>
      <w:tr w14:paraId="47E38906">
        <w:trPr>
          <w:trHeight w:val="454" w:hRule="atLeast"/>
        </w:trPr>
        <w:tc>
          <w:tcPr>
            <w:tcW w:w="613" w:type="dxa"/>
            <w:vAlign w:val="center"/>
          </w:tcPr>
          <w:p w14:paraId="29A46D2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23FB734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2.4</w:t>
            </w:r>
          </w:p>
        </w:tc>
        <w:tc>
          <w:tcPr>
            <w:tcW w:w="1403" w:type="dxa"/>
            <w:vAlign w:val="center"/>
          </w:tcPr>
          <w:p w14:paraId="30E9103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分析和评价艺术与设计作品的能力，包括对艺术品和设计风格的理解，以及对创作者意图的解读。</w:t>
            </w:r>
          </w:p>
        </w:tc>
        <w:tc>
          <w:tcPr>
            <w:tcW w:w="1403" w:type="dxa"/>
            <w:vAlign w:val="center"/>
          </w:tcPr>
          <w:p w14:paraId="78204AD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分析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了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和评价艺术与设计作品的能力，包括对艺术品和设计风格的理解，以及对创作者意图的解读。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有自己的观点和认知</w:t>
            </w:r>
          </w:p>
        </w:tc>
        <w:tc>
          <w:tcPr>
            <w:tcW w:w="1403" w:type="dxa"/>
            <w:vAlign w:val="center"/>
          </w:tcPr>
          <w:p w14:paraId="09E5557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基本分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析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了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和评价艺术与设计作品的能力，包括对艺术品和设计风格的理解，以及对创作者意图的解读。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有自己的观点和认知</w:t>
            </w:r>
          </w:p>
        </w:tc>
        <w:tc>
          <w:tcPr>
            <w:tcW w:w="1403" w:type="dxa"/>
            <w:vAlign w:val="center"/>
          </w:tcPr>
          <w:p w14:paraId="3E0DAA6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一般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分析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了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和评价艺术与设计作品的能力，包括对艺术品和设计风格的理解，以及对创作者意图的解读。</w:t>
            </w:r>
          </w:p>
        </w:tc>
        <w:tc>
          <w:tcPr>
            <w:tcW w:w="1403" w:type="dxa"/>
            <w:vAlign w:val="center"/>
          </w:tcPr>
          <w:p w14:paraId="2D4EECE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没有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分析和评价艺术与设计作品的能力，包括对艺术品和设计风格的理解，以及对创作者意图的解读。</w:t>
            </w:r>
          </w:p>
        </w:tc>
      </w:tr>
      <w:tr w14:paraId="4DCA5F72">
        <w:trPr>
          <w:trHeight w:val="454" w:hRule="atLeast"/>
        </w:trPr>
        <w:tc>
          <w:tcPr>
            <w:tcW w:w="613" w:type="dxa"/>
            <w:vAlign w:val="center"/>
          </w:tcPr>
          <w:p w14:paraId="7F0C97F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212F21C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3</w:t>
            </w:r>
          </w:p>
        </w:tc>
        <w:tc>
          <w:tcPr>
            <w:tcW w:w="1403" w:type="dxa"/>
            <w:vAlign w:val="center"/>
          </w:tcPr>
          <w:p w14:paraId="3AE4DFD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培养跨文化比较的能力，能够理解不同文化背景下艺术与设计的异同之处，以及它们之间的相互影响。</w:t>
            </w:r>
          </w:p>
        </w:tc>
        <w:tc>
          <w:tcPr>
            <w:tcW w:w="1403" w:type="dxa"/>
            <w:vAlign w:val="center"/>
          </w:tcPr>
          <w:p w14:paraId="796D2D0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能够有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跨文化比较的能力，能够理解不同文化背景下艺术与设计的异同之处，以及它们之间的相互影响。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有自己的观点和认知</w:t>
            </w:r>
          </w:p>
        </w:tc>
        <w:tc>
          <w:tcPr>
            <w:tcW w:w="1403" w:type="dxa"/>
            <w:vAlign w:val="center"/>
          </w:tcPr>
          <w:p w14:paraId="6C65362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基本有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跨文化比较的能力，</w:t>
            </w: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基本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理解不同文化背景下艺术与设计的异同之处，以及它们之间的相互影响。</w:t>
            </w:r>
          </w:p>
        </w:tc>
        <w:tc>
          <w:tcPr>
            <w:tcW w:w="1403" w:type="dxa"/>
            <w:vAlign w:val="center"/>
          </w:tcPr>
          <w:p w14:paraId="01DBD42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一般了解跨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文化比较的能力，能够理解不同文化背景下艺术与设计的异同之处，以及它们之间的相互影响。</w:t>
            </w:r>
          </w:p>
        </w:tc>
        <w:tc>
          <w:tcPr>
            <w:tcW w:w="1403" w:type="dxa"/>
            <w:vAlign w:val="center"/>
          </w:tcPr>
          <w:p w14:paraId="6967CA5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没有了解</w:t>
            </w:r>
            <w:r>
              <w:rPr>
                <w:rFonts w:ascii="Segoe UI" w:hAnsi="Segoe UI" w:cs="Segoe UI"/>
                <w:color w:val="0D0D0D" w:themeColor="text1" w:themeTint="F2"/>
                <w:sz w:val="19"/>
                <w:szCs w:val="19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跨文化比较的能力，能够理解不同文化背景下艺术与设计的异同之处，以及它们之间的相互影响。</w:t>
            </w:r>
          </w:p>
        </w:tc>
      </w:tr>
    </w:tbl>
    <w:p w14:paraId="40C8A8B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2F2B11B">
        <w:tc>
          <w:tcPr>
            <w:tcW w:w="8296" w:type="dxa"/>
          </w:tcPr>
          <w:p w14:paraId="71F59971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  <w:p w14:paraId="59238465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无</w:t>
            </w:r>
          </w:p>
          <w:p w14:paraId="73244EDF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509743C7">
      <w:pPr>
        <w:pStyle w:val="16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86C5A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68BFAD57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2MzAwYTM5MTJhNjUyMzczZjAyNDBmN2E4ZGQyNDQifQ=="/>
  </w:docVars>
  <w:rsids>
    <w:rsidRoot w:val="00B7651F"/>
    <w:rsid w:val="00004A2B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07553"/>
    <w:rsid w:val="00114668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0967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11"/>
    <w:rsid w:val="005523FD"/>
    <w:rsid w:val="00553D03"/>
    <w:rsid w:val="00555BA0"/>
    <w:rsid w:val="00556E41"/>
    <w:rsid w:val="00571AF0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2C"/>
    <w:rsid w:val="007056DE"/>
    <w:rsid w:val="00705B3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E5E38"/>
    <w:rsid w:val="008F253F"/>
    <w:rsid w:val="008F7F31"/>
    <w:rsid w:val="00900019"/>
    <w:rsid w:val="009023B1"/>
    <w:rsid w:val="00902A47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10E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69C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5AC4"/>
    <w:rsid w:val="00C66AB7"/>
    <w:rsid w:val="00C673D1"/>
    <w:rsid w:val="00C746CB"/>
    <w:rsid w:val="00C77BBF"/>
    <w:rsid w:val="00C77D64"/>
    <w:rsid w:val="00C81564"/>
    <w:rsid w:val="00C8162C"/>
    <w:rsid w:val="00C9080C"/>
    <w:rsid w:val="00C94429"/>
    <w:rsid w:val="00CA18FD"/>
    <w:rsid w:val="00CA27E5"/>
    <w:rsid w:val="00CA4897"/>
    <w:rsid w:val="00CA6928"/>
    <w:rsid w:val="00CB3D3F"/>
    <w:rsid w:val="00CB5A1A"/>
    <w:rsid w:val="00CB6888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75D81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1A420943"/>
    <w:rsid w:val="22987C80"/>
    <w:rsid w:val="24192CCC"/>
    <w:rsid w:val="2C1F3A8C"/>
    <w:rsid w:val="39A66CD4"/>
    <w:rsid w:val="3CD52CE1"/>
    <w:rsid w:val="410F2E6A"/>
    <w:rsid w:val="4430136C"/>
    <w:rsid w:val="4A9FA70D"/>
    <w:rsid w:val="4AB0382B"/>
    <w:rsid w:val="569868B5"/>
    <w:rsid w:val="611F6817"/>
    <w:rsid w:val="66CA1754"/>
    <w:rsid w:val="6B3C7415"/>
    <w:rsid w:val="6F1E65D4"/>
    <w:rsid w:val="6F266C86"/>
    <w:rsid w:val="6F5042C2"/>
    <w:rsid w:val="74316312"/>
    <w:rsid w:val="77A64DFA"/>
    <w:rsid w:val="780F13C8"/>
    <w:rsid w:val="7C385448"/>
    <w:rsid w:val="7CB3663D"/>
    <w:rsid w:val="7FD9F7E2"/>
    <w:rsid w:val="F7BBC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  <w:style w:type="character" w:styleId="22">
    <w:name w:val="Placeholder Text"/>
    <w:basedOn w:val="9"/>
    <w:unhideWhenUsed/>
    <w:qFormat/>
    <w:uiPriority w:val="99"/>
    <w:rPr>
      <w:color w:val="808080"/>
    </w:rPr>
  </w:style>
  <w:style w:type="paragraph" w:customStyle="1" w:styleId="23">
    <w:name w:val="p2"/>
    <w:basedOn w:val="1"/>
    <w:qFormat/>
    <w:uiPriority w:val="0"/>
    <w:rPr>
      <w:rFonts w:ascii="Helvetica" w:hAnsi="Helvetica" w:eastAsia="Helvetica" w:cs="Times New Roman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1789</Words>
  <Characters>1895</Characters>
  <Lines>30</Lines>
  <Paragraphs>8</Paragraphs>
  <TotalTime>4</TotalTime>
  <ScaleCrop>false</ScaleCrop>
  <LinksUpToDate>false</LinksUpToDate>
  <CharactersWithSpaces>1902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2024-01-29T04:49:00Z</dcterms:created>
  <dc:creator>juvg</dc:creator>
  <cp:lastModifiedBy>Wzy</cp:lastModifiedBy>
  <cp:lastPrinted>2023-11-22T00:52:00Z</cp:lastPrinted>
  <dcterms:modified xsi:type="dcterms:W3CDTF">2026-03-09T11:07:43Z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KSOTemplateDocerSaveRecord">
    <vt:lpwstr>eyJoZGlkIjoiNTQwOWNkNDhhZDM5NzU1YzBkYjFjOTFjNjUwYjA0MzAiLCJ1c2VySWQiOiIzNTMzNDMzNDIifQ==</vt:lpwstr>
  </property>
  <property fmtid="{D5CDD505-2E9C-101B-9397-08002B2CF9AE}" pid="4" name="ICV">
    <vt:lpwstr>372346EF41562B577F39AE691B4F830B_43</vt:lpwstr>
  </property>
</Properties>
</file>