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5356A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rFonts w:ascii="Times New Roman" w:hAnsi="Times New Roman" w:eastAsia="黑体"/>
          <w:bCs/>
          <w:sz w:val="32"/>
          <w:szCs w:val="32"/>
        </w:rPr>
      </w:pPr>
      <w:bookmarkStart w:id="0" w:name="_Toc27097"/>
      <w:r>
        <w:rPr>
          <w:rFonts w:hint="eastAsia" w:ascii="Times New Roman" w:hAnsi="Times New Roman" w:eastAsia="黑体"/>
          <w:bCs/>
          <w:sz w:val="32"/>
          <w:szCs w:val="32"/>
        </w:rPr>
        <w:t>《三维创意表现</w:t>
      </w:r>
      <w:r>
        <w:rPr>
          <w:rFonts w:ascii="Times New Roman" w:hAnsi="Times New Roman" w:eastAsia="黑体"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黑体"/>
          <w:bCs/>
          <w:sz w:val="32"/>
          <w:szCs w:val="32"/>
        </w:rPr>
        <w:t>》本科课程教学大纲</w:t>
      </w:r>
      <w:bookmarkEnd w:id="0"/>
    </w:p>
    <w:p w14:paraId="6F9F0C08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before="326" w:beforeLines="100" w:line="36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一</w:t>
      </w:r>
      <w:r>
        <w:rPr>
          <w:rFonts w:hint="eastAsia" w:ascii="Times New Roman" w:hAnsi="Times New Roman"/>
        </w:rPr>
        <w:t>、课程</w:t>
      </w:r>
      <w:r>
        <w:rPr>
          <w:rFonts w:ascii="Times New Roman" w:hAnsi="Times New Roman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2B4767D8"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439D7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B071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三维创意表现</w:t>
            </w:r>
          </w:p>
        </w:tc>
      </w:tr>
      <w:tr w14:paraId="56594E7C"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D67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39503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ascii="Times New Roman" w:hAnsi="Times New Roman" w:cstheme="majorBid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 w:cstheme="majorBid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Computer 3D performance</w:t>
            </w:r>
          </w:p>
        </w:tc>
      </w:tr>
      <w:tr w14:paraId="0101E3E2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B24D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0F008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20404</w:t>
            </w: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2126" w:type="dxa"/>
            <w:gridSpan w:val="2"/>
            <w:vAlign w:val="center"/>
          </w:tcPr>
          <w:p w14:paraId="23750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5AB58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52AF6E8F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0901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sz w:val="21"/>
                <w:szCs w:val="18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 w:ascii="Times New Roman" w:hAnsi="Times New Roman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726C1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2" w:type="dxa"/>
            <w:vAlign w:val="center"/>
          </w:tcPr>
          <w:p w14:paraId="3721F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2C7E5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05391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7951D0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326AB19C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F314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100DB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8ECF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4F19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视觉传达设计（中本贯通）2</w:t>
            </w:r>
            <w:r>
              <w:rPr>
                <w:rFonts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023</w:t>
            </w:r>
          </w:p>
        </w:tc>
      </w:tr>
      <w:tr w14:paraId="3326883F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22C7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3E973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专业课程</w:t>
            </w:r>
          </w:p>
        </w:tc>
        <w:tc>
          <w:tcPr>
            <w:tcW w:w="2126" w:type="dxa"/>
            <w:gridSpan w:val="2"/>
            <w:vAlign w:val="center"/>
          </w:tcPr>
          <w:p w14:paraId="4B305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17DA7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5C31C9CD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8459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5079C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《Cinema 4D动态视觉设计商业案例实战》,刘衡, 李夏菁,中国青年出版社,9787515369013</w:t>
            </w:r>
          </w:p>
        </w:tc>
        <w:tc>
          <w:tcPr>
            <w:tcW w:w="1413" w:type="dxa"/>
            <w:gridSpan w:val="2"/>
            <w:vAlign w:val="center"/>
          </w:tcPr>
          <w:p w14:paraId="6BE83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47059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3CD89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ind w:left="120" w:leftChars="50"/>
              <w:jc w:val="left"/>
              <w:textAlignment w:val="auto"/>
              <w:outlineLvl w:val="9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079F1DCC"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D17B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1147B95F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both"/>
              <w:textAlignment w:val="auto"/>
              <w:outlineLvl w:val="9"/>
              <w:rPr>
                <w:rFonts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设计基础2040599（3）</w:t>
            </w:r>
            <w:r>
              <w:rPr>
                <w:rFonts w:hint="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立体构成</w:t>
            </w:r>
            <w:r>
              <w:rPr>
                <w:rFonts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2040522（</w:t>
            </w:r>
            <w:r>
              <w:rPr>
                <w:rFonts w:hint="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2EC8BD6D">
        <w:trPr>
          <w:trHeight w:val="3577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E46D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7F72AB0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eastAsiaTheme="minorEastAsia"/>
              </w:rPr>
            </w:pPr>
            <w:r>
              <w:rPr>
                <w:rFonts w:eastAsiaTheme="minorEastAsia"/>
              </w:rPr>
              <w:t>一、目的</w:t>
            </w:r>
          </w:p>
          <w:p w14:paraId="6D17892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eastAsiaTheme="minorEastAsia"/>
              </w:rPr>
            </w:pPr>
            <w:r>
              <w:rPr>
                <w:rFonts w:eastAsiaTheme="minorEastAsia"/>
              </w:rPr>
              <w:t>本课程的开设背景在于，随着科技的发展，三维建模和动画设计在各行各业中的应用越来越广泛。学习Cinema 4D软件，可以帮助学生掌握三维建模、动画设计和渲染等技能，对于学生的职业发展具有重要意义。在专业课程体系中，本课程作为一门实践性强、技能型的课程，对于培养学生的实践能力和创新思维具有重要作用。</w:t>
            </w:r>
          </w:p>
          <w:p w14:paraId="3AF568C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eastAsiaTheme="minorEastAsia"/>
              </w:rPr>
            </w:pPr>
            <w:r>
              <w:rPr>
                <w:rFonts w:eastAsiaTheme="minorEastAsia"/>
              </w:rPr>
              <w:t>二、内容</w:t>
            </w:r>
          </w:p>
          <w:p w14:paraId="73C1320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eastAsiaTheme="minorEastAsia"/>
              </w:rPr>
            </w:pPr>
            <w:r>
              <w:rPr>
                <w:rFonts w:eastAsiaTheme="minorEastAsia"/>
              </w:rPr>
              <w:t>本课程的研究对象是Cinema 4D软件及其在三维建模和动画设计中的应用。课程设计的主要理念是通过理论与实践相结合的教学方法，使学生能够熟练掌握Cinema 4D软件的操作，并能运用所学知识进行实际项目的开发。课程内容包括Cinema 4D软件的基础操作、三维建模技巧、动画设计和渲染等。在思政教学方面，我们强调创新思维的培养，鼓励学生在学习过程中发挥自己的想象力和创造力。</w:t>
            </w:r>
          </w:p>
          <w:p w14:paraId="55A9C01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eastAsiaTheme="minorEastAsia"/>
              </w:rPr>
            </w:pPr>
            <w:r>
              <w:rPr>
                <w:rFonts w:eastAsiaTheme="minorEastAsia"/>
              </w:rPr>
              <w:t>三、预期成果</w:t>
            </w:r>
          </w:p>
          <w:p w14:paraId="6C3B020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</w:pPr>
            <w:r>
              <w:rPr>
                <w:rFonts w:eastAsiaTheme="minorEastAsia"/>
              </w:rPr>
              <w:t>通过本课程的学习，学生将能够熟练使用Cinema 4D软件进行三维建模和动画设计，具备从设计到实现的完整项目开发能力。对于学生的职业发展，本课程将帮助学生掌握一项重要的技能，为其在动画设计、游戏开发、影视制作等行业的就业提供有力的支持。同时，通过项目实践，学生的团队协作能力、问题解决能力和创新思维也将得到提升。</w:t>
            </w:r>
          </w:p>
        </w:tc>
      </w:tr>
      <w:tr w14:paraId="64CBCB1D"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6617C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398CACB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both"/>
              <w:textAlignment w:val="auto"/>
              <w:outlineLvl w:val="9"/>
            </w:pPr>
            <w:r>
              <w:t>此课程适合艺术设计专业</w:t>
            </w:r>
            <w:r>
              <w:rPr>
                <w:rFonts w:hint="eastAsia"/>
              </w:rPr>
              <w:t>一</w:t>
            </w:r>
            <w:r>
              <w:t>年级</w:t>
            </w:r>
            <w:r>
              <w:rPr>
                <w:rFonts w:hint="eastAsia"/>
              </w:rPr>
              <w:t>本科</w:t>
            </w:r>
            <w:r>
              <w:t>授课，要求学生具备一定的绘画基础、设计知识以及计算机使用经验。</w:t>
            </w:r>
          </w:p>
        </w:tc>
      </w:tr>
      <w:tr w14:paraId="5B781C2B"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793C0C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0FB57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right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1033145" cy="479425"/>
                  <wp:effectExtent l="0" t="0" r="0" b="0"/>
                  <wp:docPr id="37" name="图片 37" descr="/Users/chenguanliang/Desktop/个人常用信息/我的签名.png我的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/Users/chenguanliang/Desktop/个人常用信息/我的签名.png我的签名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3046" r="30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9531" cy="479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0" distR="0">
                  <wp:extent cx="620395" cy="278130"/>
                  <wp:effectExtent l="0" t="0" r="15240" b="1270"/>
                  <wp:docPr id="40" name="图片 1" descr="王成昊教师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1" descr="王成昊教师签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39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3F0443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21ABE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4-01</w:t>
            </w:r>
          </w:p>
        </w:tc>
      </w:tr>
      <w:tr w14:paraId="1AD7352D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9DD9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348F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right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sz w:val="21"/>
                <w:szCs w:val="21"/>
              </w:rPr>
              <w:drawing>
                <wp:inline distT="0" distB="0" distL="0" distR="0">
                  <wp:extent cx="533400" cy="340360"/>
                  <wp:effectExtent l="0" t="0" r="0" b="15875"/>
                  <wp:docPr id="44" name="图片 44" descr="形状&#10;&#10;中度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 descr="形状&#10;&#10;中度可信度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904" cy="34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7CD8B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20DB5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4-01</w:t>
            </w:r>
          </w:p>
        </w:tc>
      </w:tr>
      <w:tr w14:paraId="54B67F3B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4D1FB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544CF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right"/>
              <w:textAlignment w:val="auto"/>
              <w:outlineLvl w:val="9"/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863600" cy="395605"/>
                  <wp:effectExtent l="0" t="0" r="0" b="10795"/>
                  <wp:docPr id="47" name="图片 47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27D7C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B7AE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4-01</w:t>
            </w:r>
          </w:p>
        </w:tc>
      </w:tr>
    </w:tbl>
    <w:p w14:paraId="783BE7C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100" w:lineRule="exact"/>
        <w:textAlignment w:val="auto"/>
        <w:outlineLvl w:val="9"/>
        <w:rPr>
          <w:rFonts w:ascii="Times New Roman" w:hAnsi="Times New Roman" w:eastAsia="黑体"/>
        </w:rPr>
      </w:pPr>
      <w:r>
        <w:rPr>
          <w:rFonts w:ascii="Times New Roman" w:hAnsi="Times New Roman"/>
        </w:rPr>
        <w:br w:type="page"/>
      </w:r>
    </w:p>
    <w:p w14:paraId="2D36B17A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before="326" w:beforeLines="100" w:line="36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二、课程目标与毕业要求</w:t>
      </w:r>
    </w:p>
    <w:p w14:paraId="2643718F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81" w:after="163"/>
        <w:textAlignment w:val="auto"/>
        <w:outlineLvl w:val="9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24D679FB"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046845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F3C55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38AB75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0C1BFEBF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531256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19F38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43B904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学生将深入理解和掌握Cinema 4D软件的基础知识和操作技巧，包括文件操作、对象操作、视图操作、建模方法、动画制作、灯光布置、材质贴图、渲染技术等，以满足视觉传达设计的需求。</w:t>
            </w:r>
          </w:p>
        </w:tc>
      </w:tr>
      <w:tr w14:paraId="67300387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29088E6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84ABA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75D0D2B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学生将了解和熟悉与电脑三维表现相关的法律法规，以确保在实习实践中能自觉遵守职业规范，具备良好的职业道德操守。</w:t>
            </w:r>
          </w:p>
        </w:tc>
      </w:tr>
      <w:tr w14:paraId="25BE594D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38043E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5DD2E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61557034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学生将能够运用Cinema 4D软件，从设计到实现完成一个完整的项目，锤炼和提升自己的技能。</w:t>
            </w:r>
          </w:p>
        </w:tc>
      </w:tr>
      <w:tr w14:paraId="160209E1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1274B3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21F5E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2867179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学生将通过大量的实践操作，熟练掌握Cinema 4D软件，能够运用各种途径和工具进行三维建模和动画设计。</w:t>
            </w:r>
          </w:p>
        </w:tc>
      </w:tr>
      <w:tr w14:paraId="7D0574FB"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6741AB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Times New Roman" w:hAnsi="Times New Roman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5D5A07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Times New Roman" w:hAnsi="Times New Roman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1EF0A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2A6197B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学生将通过本课程的学习，培养爱岗敬业的精神，热爱所学专业，勤学多练，锤炼技能。同时，学生将在实习实践中自觉遵守职业规范，具备良好的职业道德操守。</w:t>
            </w:r>
          </w:p>
        </w:tc>
      </w:tr>
      <w:tr w14:paraId="7C7B5FBB"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5565C1E9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3BCCE3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Times New Roman" w:hAnsi="Times New Roman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3E4F1F95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学生将通过本课程的学习，培养自主学习的能力，能搜集、获取达到目标所需要的学习资源，实施学习计划、反思学习计划、持续改进，达到学习目标。同时，学生将了解行业前沿知识技术，为未来的职业发展打下坚实的基础。</w:t>
            </w:r>
          </w:p>
        </w:tc>
      </w:tr>
    </w:tbl>
    <w:p w14:paraId="24148983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163" w:beforeLines="50" w:after="163"/>
        <w:textAlignment w:val="auto"/>
        <w:outlineLvl w:val="9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 w14:paraId="7AB021CE">
        <w:tc>
          <w:tcPr>
            <w:tcW w:w="8276" w:type="dxa"/>
          </w:tcPr>
          <w:p w14:paraId="42EC34B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  <w:r>
              <w:rPr>
                <w:rFonts w:ascii="Cambria Math" w:hAnsi="Cambria Math" w:cs="Cambria Math"/>
                <w:bCs/>
              </w:rPr>
              <w:t>⑤爱岗敬业，热爱所学专业，勤学多练，锤炼技能。熟悉本专业相关的法律法规，在实习实践中自觉遵守职业规范，具备职业道德操守。</w:t>
            </w:r>
          </w:p>
        </w:tc>
      </w:tr>
      <w:tr w14:paraId="5BE0CCCF">
        <w:tc>
          <w:tcPr>
            <w:tcW w:w="8276" w:type="dxa"/>
          </w:tcPr>
          <w:p w14:paraId="520DD24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LO2专业能力：具有人文科学素养，具备从事视觉传达设计工作或专业的理论知识、实践能力。</w:t>
            </w:r>
          </w:p>
          <w:p w14:paraId="77498E3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⑤</w:t>
            </w:r>
            <w:r>
              <w:rPr>
                <w:bCs/>
              </w:rPr>
              <w:t>掌握视觉传达设计相关软件和工具，在设计过程中能够运用各种途径和工具进行设计和制作。</w:t>
            </w:r>
          </w:p>
        </w:tc>
      </w:tr>
      <w:tr w14:paraId="5D46DFCB">
        <w:tc>
          <w:tcPr>
            <w:tcW w:w="8276" w:type="dxa"/>
          </w:tcPr>
          <w:p w14:paraId="5A1E075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LO4自主学习：能根据环境需要确定自己的学习目标，并主动地通过搜集信息、分析信息、讨论、实践、质疑、创造等方法来实现学习目标。</w:t>
            </w:r>
          </w:p>
          <w:p w14:paraId="4D0BEB1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②</w:t>
            </w:r>
            <w:r>
              <w:rPr>
                <w:bCs/>
              </w:rPr>
              <w:t>能搜集、获取达到目标所需要的学习资源，实施学习计划、反思学习计划、持续改进，达到学习目标。</w:t>
            </w:r>
          </w:p>
        </w:tc>
      </w:tr>
      <w:tr w14:paraId="5BC791EB">
        <w:tc>
          <w:tcPr>
            <w:tcW w:w="8276" w:type="dxa"/>
          </w:tcPr>
          <w:p w14:paraId="0304540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ascii="Cambria Math" w:hAnsi="Cambria Math" w:cs="Cambria Math"/>
                <w:bCs/>
              </w:rPr>
            </w:pPr>
            <w:r>
              <w:rPr>
                <w:rFonts w:ascii="Cambria Math" w:hAnsi="Cambria Math" w:cs="Cambria Math"/>
                <w:bCs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</w:p>
          <w:p w14:paraId="5819406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ascii="Cambria Math" w:hAnsi="Cambria Math" w:cs="Cambria Math"/>
                <w:bCs/>
              </w:rPr>
              <w:t>④</w:t>
            </w:r>
            <w:r>
              <w:rPr>
                <w:bCs/>
              </w:rPr>
              <w:t>了解行业前沿知识技术。</w:t>
            </w:r>
          </w:p>
        </w:tc>
      </w:tr>
    </w:tbl>
    <w:p w14:paraId="1235DC8F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163" w:beforeLines="50" w:after="163"/>
        <w:textAlignment w:val="auto"/>
        <w:outlineLvl w:val="9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2F807A13"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75B1AEA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3D2448FE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341104C7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0BF10B3B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9488E1B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对指标点的贡献度</w:t>
            </w:r>
          </w:p>
        </w:tc>
      </w:tr>
      <w:tr w14:paraId="0EA6A21B"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ED803B1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LO1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70128081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cs="Times New Roman"/>
                <w:bCs/>
              </w:rPr>
            </w:pPr>
            <w:r>
              <w:rPr>
                <w:rFonts w:ascii="Cambria Math" w:hAnsi="Cambria Math" w:cs="Cambria Math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0D8C196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L</w:t>
            </w:r>
          </w:p>
        </w:tc>
        <w:tc>
          <w:tcPr>
            <w:tcW w:w="4651" w:type="dxa"/>
            <w:vAlign w:val="center"/>
          </w:tcPr>
          <w:p w14:paraId="6687608C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.学生将了解和熟悉与电脑三维表现相关的法律法规，以确保在实习实践中能自觉遵守职业规范，具备良好的职业道德操守。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28FB884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50%</w:t>
            </w:r>
          </w:p>
        </w:tc>
      </w:tr>
      <w:tr w14:paraId="5988B2D0"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9A5ACEB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b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53E7754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18C2B8B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4651" w:type="dxa"/>
            <w:vAlign w:val="center"/>
          </w:tcPr>
          <w:p w14:paraId="296F572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5.</w:t>
            </w:r>
            <w:r>
              <w:t xml:space="preserve"> </w:t>
            </w:r>
            <w:r>
              <w:rPr>
                <w:bCs/>
              </w:rPr>
              <w:t>学生将通过本课程的学习，培养爱岗敬业的精神，热爱所学专业，勤学多练，锤炼技能。同时，学生将在实习实践中自觉遵守职业规范，具备良好的职业道德操守。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F6F3D2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5</w:t>
            </w:r>
            <w:r>
              <w:rPr>
                <w:bCs/>
              </w:rPr>
              <w:t>0%</w:t>
            </w:r>
          </w:p>
        </w:tc>
      </w:tr>
      <w:tr w14:paraId="40DFA89D"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C40CC9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LO2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0CF6E1A8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cs="Times New Roman"/>
                <w:bCs/>
              </w:rPr>
            </w:pPr>
            <w:r>
              <w:rPr>
                <w:rFonts w:ascii="Cambria Math" w:hAnsi="Cambria Math" w:cs="Cambria Math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63BA11A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H</w:t>
            </w:r>
          </w:p>
        </w:tc>
        <w:tc>
          <w:tcPr>
            <w:tcW w:w="4651" w:type="dxa"/>
            <w:vAlign w:val="center"/>
          </w:tcPr>
          <w:p w14:paraId="68A04FB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学生将能够运用Cinema 4D软件，从设计到实现完成一个完整的项目，锤炼和提升自己的技能。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91E0CD8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70%</w:t>
            </w:r>
          </w:p>
        </w:tc>
      </w:tr>
      <w:tr w14:paraId="762B1DD1"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F54695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44596A45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54EC018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4651" w:type="dxa"/>
            <w:vAlign w:val="center"/>
          </w:tcPr>
          <w:p w14:paraId="292C293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4.</w:t>
            </w:r>
            <w:r>
              <w:t xml:space="preserve"> </w:t>
            </w:r>
            <w:r>
              <w:rPr>
                <w:bCs/>
              </w:rPr>
              <w:t>学生将通过大量的实践操作，熟练掌握Cinema 4D软件，能够运用各种途径和工具进行三维建模和动画设计。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1E3519CA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  <w:r>
              <w:rPr>
                <w:bCs/>
              </w:rPr>
              <w:t>0%</w:t>
            </w:r>
          </w:p>
        </w:tc>
      </w:tr>
      <w:tr w14:paraId="26C72B34"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F23C70B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LO4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4A97F565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cs="Times New Roman"/>
                <w:bCs/>
              </w:rPr>
            </w:pPr>
            <w:r>
              <w:rPr>
                <w:rFonts w:ascii="Cambria Math" w:hAnsi="Cambria Math" w:cs="Cambria Math"/>
                <w:bCs/>
              </w:rPr>
              <w:t>②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2ADFC08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L</w:t>
            </w:r>
          </w:p>
        </w:tc>
        <w:tc>
          <w:tcPr>
            <w:tcW w:w="4651" w:type="dxa"/>
            <w:vAlign w:val="center"/>
          </w:tcPr>
          <w:p w14:paraId="27AA9EAB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.</w:t>
            </w:r>
            <w:r>
              <w:t xml:space="preserve"> </w:t>
            </w:r>
            <w:r>
              <w:rPr>
                <w:bCs/>
              </w:rPr>
              <w:t>学生将深入理解和掌握Cinema 4D软件的基础知识和操作技巧，包括文件操作、对象操作、视图操作、建模方法、动画制作、灯光布置、材质贴图、渲染技术等，以满足视觉传达设计的需求。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5795BED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00%</w:t>
            </w:r>
          </w:p>
        </w:tc>
      </w:tr>
      <w:tr w14:paraId="1147E694"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1D12F59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LO6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111251C9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Cambria Math" w:hAnsi="Cambria Math" w:cs="Cambria Math"/>
                <w:bCs/>
              </w:rPr>
            </w:pPr>
            <w:r>
              <w:rPr>
                <w:rFonts w:ascii="Cambria Math" w:hAnsi="Cambria Math" w:cs="Cambria Math"/>
                <w:bCs/>
              </w:rPr>
              <w:t>④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6D84771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H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p w14:paraId="32396F1A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6</w:t>
            </w:r>
            <w:r>
              <w:rPr>
                <w:rFonts w:hint="eastAsia"/>
                <w:bCs/>
              </w:rPr>
              <w:t>．</w:t>
            </w:r>
            <w:r>
              <w:rPr>
                <w:bCs/>
              </w:rPr>
              <w:t>学生将通过本课程的学习，培养自主学习的能力，能搜集、获取达到目标所需要的学习资源，实施学习计划、反思学习计划、持续改进，达到学习目标。同时，学生将了解行业前沿知识技术，为未来的职业发展打下坚实的基础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06802F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00%</w:t>
            </w:r>
          </w:p>
        </w:tc>
      </w:tr>
    </w:tbl>
    <w:p w14:paraId="0E656B80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before="326" w:beforeLines="100" w:line="36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三、</w:t>
      </w:r>
      <w:r>
        <w:rPr>
          <w:rFonts w:ascii="Times New Roman" w:hAnsi="Times New Roman"/>
        </w:rPr>
        <w:t>课程内容</w:t>
      </w:r>
      <w:r>
        <w:rPr>
          <w:rFonts w:hint="eastAsia" w:ascii="Times New Roman" w:hAnsi="Times New Roman"/>
        </w:rPr>
        <w:t>与教学设计</w:t>
      </w:r>
    </w:p>
    <w:p w14:paraId="63D9B5A9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81" w:after="163"/>
        <w:textAlignment w:val="auto"/>
        <w:outlineLvl w:val="9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6"/>
      </w:tblGrid>
      <w:tr w14:paraId="439E62F6">
        <w:tc>
          <w:tcPr>
            <w:tcW w:w="8276" w:type="dxa"/>
          </w:tcPr>
          <w:p w14:paraId="321AFC0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第一单元 基础知识与操作</w:t>
            </w:r>
          </w:p>
          <w:p w14:paraId="50432DA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1.Cinema 4D的基础知识 </w:t>
            </w:r>
          </w:p>
          <w:p w14:paraId="3C3C01D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教学目标：了解Cinema 4D软件的基本功能和安装过程 </w:t>
            </w:r>
          </w:p>
          <w:p w14:paraId="6520681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教学重点：Cinema 4D软件的功能介绍 </w:t>
            </w:r>
          </w:p>
          <w:p w14:paraId="2745BD9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教学难点：Cinema 4D软件的安装和设置</w:t>
            </w:r>
          </w:p>
          <w:p w14:paraId="3986A95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 xml:space="preserve">.文件操作、对象操作和视图操作 </w:t>
            </w:r>
          </w:p>
          <w:p w14:paraId="7E1B288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4D的文件操作、对象操作和视图操作方法 </w:t>
            </w:r>
          </w:p>
          <w:p w14:paraId="72EE862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教学重点：文件的保存、打开和导出；对象的创建、编辑和删除；视图的切换和调整 教学难点：文件的格式转换和兼容性问题；复杂对象的操作和多视图的管理</w:t>
            </w:r>
          </w:p>
        </w:tc>
      </w:tr>
      <w:tr w14:paraId="1A30874C">
        <w:tc>
          <w:tcPr>
            <w:tcW w:w="8276" w:type="dxa"/>
          </w:tcPr>
          <w:p w14:paraId="2E473F8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第二单元 建模方法</w:t>
            </w:r>
          </w:p>
          <w:p w14:paraId="7E5CCE7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 xml:space="preserve">.几何体建模方法 </w:t>
            </w:r>
          </w:p>
          <w:p w14:paraId="4968D24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4D中基本几何体的创建和编辑方法 </w:t>
            </w:r>
          </w:p>
          <w:p w14:paraId="555849DB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教学重点：立方体、球体、平面、圆柱等几何体的创建和属性设置 </w:t>
            </w:r>
          </w:p>
          <w:p w14:paraId="371642C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教学难点：复杂几何体的创建和编辑</w:t>
            </w:r>
          </w:p>
          <w:p w14:paraId="6C0BCB0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 xml:space="preserve">.样条建模方法、生成器建模方法、变形器建模方法以及点、边、多边形模式下的建模方法 </w:t>
            </w:r>
          </w:p>
          <w:p w14:paraId="1B79322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4D中样条的绘制和编辑方法，生成器和变形器的使用方法，以及点、边、多边形模式下的建模方法 </w:t>
            </w:r>
          </w:p>
          <w:p w14:paraId="13869F6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教学重点：使用样条工具和画笔工具绘制样条；使用生成器和变形器为模型添加效果；点、边、多边形的选择和编辑 </w:t>
            </w:r>
          </w:p>
          <w:p w14:paraId="2E9EB91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教学难点：复杂样条的绘制和编辑；复杂效果的生成和调整；复杂模型的编辑和优化</w:t>
            </w:r>
          </w:p>
        </w:tc>
      </w:tr>
      <w:tr w14:paraId="490FEDD4">
        <w:tc>
          <w:tcPr>
            <w:tcW w:w="8276" w:type="dxa"/>
          </w:tcPr>
          <w:p w14:paraId="52C3287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第三单元 视觉工具的使用</w:t>
            </w:r>
          </w:p>
          <w:p w14:paraId="23F3CCA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1.Cinema 4D摄像机工具的使用方法 </w:t>
            </w:r>
          </w:p>
          <w:p w14:paraId="5AFFB6D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4D中摄像机工具的使用方法 </w:t>
            </w:r>
          </w:p>
          <w:p w14:paraId="1F16B74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教学重点：摄像机的创建和设置 </w:t>
            </w:r>
          </w:p>
          <w:p w14:paraId="45817F0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教学难点：复杂场景的摄像机设置和动画制作</w:t>
            </w:r>
          </w:p>
          <w:p w14:paraId="13F2E26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 xml:space="preserve">.灯光工具的使用方法 </w:t>
            </w:r>
          </w:p>
          <w:p w14:paraId="67E5098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4D中灯光工具的使用方法 </w:t>
            </w:r>
          </w:p>
          <w:p w14:paraId="58AB2DA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教学重点：灯光的创建和设置 </w:t>
            </w:r>
          </w:p>
          <w:p w14:paraId="3A04111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教学难点：复杂场景的灯光布置和效果调整</w:t>
            </w:r>
          </w:p>
        </w:tc>
      </w:tr>
      <w:tr w14:paraId="17ACAF20">
        <w:tc>
          <w:tcPr>
            <w:tcW w:w="8276" w:type="dxa"/>
          </w:tcPr>
          <w:p w14:paraId="0323B563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第四单元 材质与环境</w:t>
            </w:r>
          </w:p>
          <w:p w14:paraId="0BF2428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 xml:space="preserve">.材质与贴图的使用方法 </w:t>
            </w:r>
          </w:p>
          <w:p w14:paraId="67EDF06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4D中材质与贴图的使用方法 </w:t>
            </w:r>
          </w:p>
          <w:p w14:paraId="2E2DAB2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教学重点：材质的创建和设置；贴图的应用和调整 </w:t>
            </w:r>
          </w:p>
          <w:p w14:paraId="290CDE9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教学难点：复杂材质的创建和贴图的调整</w:t>
            </w:r>
          </w:p>
          <w:p w14:paraId="6DC47A1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 xml:space="preserve">.标签和环境的使用方法 </w:t>
            </w:r>
          </w:p>
          <w:p w14:paraId="258C640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4D中标签和环境的使用方法 </w:t>
            </w:r>
          </w:p>
          <w:p w14:paraId="15E71A4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教学重点：标签的应用和设置；环境的创建和调整 </w:t>
            </w:r>
          </w:p>
          <w:p w14:paraId="5DE790D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教学难点：复杂标签的应用和环境的设置</w:t>
            </w:r>
          </w:p>
        </w:tc>
      </w:tr>
      <w:tr w14:paraId="6E251D33">
        <w:tc>
          <w:tcPr>
            <w:tcW w:w="8276" w:type="dxa"/>
          </w:tcPr>
          <w:p w14:paraId="56C70D6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第五单元 渲染与动画</w:t>
            </w:r>
          </w:p>
          <w:p w14:paraId="2D59294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1.Cnema4D内置渲染器的使用方法 </w:t>
            </w:r>
          </w:p>
          <w:p w14:paraId="5090E62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4D中内置渲染器的使用方法 </w:t>
            </w:r>
          </w:p>
          <w:p w14:paraId="61DB295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教学重点：渲染器的选择和设置 </w:t>
            </w:r>
          </w:p>
          <w:p w14:paraId="2FCD8BA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教学难点：复杂场景的渲染设置和效果调整</w:t>
            </w:r>
          </w:p>
          <w:p w14:paraId="7B7457F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 xml:space="preserve">.运动图形工具的使用方法以及关键帧动画的制作方法 </w:t>
            </w:r>
          </w:p>
          <w:p w14:paraId="395FA30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4D中运动图形工具的使用方法和关键帧动画的制作方法 </w:t>
            </w:r>
          </w:p>
          <w:p w14:paraId="24FF218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教学重点：运动图形工具的应用和设置；关键帧的创建和编辑 </w:t>
            </w:r>
          </w:p>
          <w:p w14:paraId="6AB6494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教学难点：复杂运动特效的设计和制作；复杂动画的制作和优化</w:t>
            </w:r>
          </w:p>
        </w:tc>
      </w:tr>
      <w:tr w14:paraId="6525DAD8">
        <w:tc>
          <w:tcPr>
            <w:tcW w:w="8276" w:type="dxa"/>
          </w:tcPr>
          <w:p w14:paraId="20DE1E8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第六单元 特效与系统应用</w:t>
            </w:r>
          </w:p>
          <w:p w14:paraId="0445AAD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 xml:space="preserve">.粒子运动特效的制作方法 </w:t>
            </w:r>
          </w:p>
          <w:p w14:paraId="7FB88BE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4D中粒子运动特效的制作方法 </w:t>
            </w:r>
          </w:p>
          <w:p w14:paraId="65DB9F17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教学重点：粒子的创建和设置；力场的应用和调整 </w:t>
            </w:r>
          </w:p>
          <w:p w14:paraId="3573198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教学难点：复杂粒子运动特效的制作和调整</w:t>
            </w:r>
          </w:p>
          <w:p w14:paraId="1BA770F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2.Cinema4D动力学系统的使用方法、体积和域的使用方法以及Cinema4D的角色系统和毛发系统 </w:t>
            </w:r>
          </w:p>
          <w:p w14:paraId="01A67A0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教学目标：掌握Cinema 4D中动力学系统的使用方法，体积和域的使用方法，以及角色系统和毛发系统的使用方法 </w:t>
            </w:r>
          </w:p>
          <w:p w14:paraId="6AA4D38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 xml:space="preserve">教学重点：动力学系统的应用和设置；体积和域的创建和设置；角色系统的应用和设置；毛发系统的创建和调整 </w:t>
            </w:r>
          </w:p>
          <w:p w14:paraId="5054ED7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bCs/>
              </w:rPr>
            </w:pPr>
            <w:r>
              <w:rPr>
                <w:bCs/>
              </w:rPr>
              <w:t>教学难点：复杂动作的模拟和调整；复杂体积和域的创建和调整；复杂角色的创建和毛发的调整</w:t>
            </w:r>
          </w:p>
        </w:tc>
      </w:tr>
    </w:tbl>
    <w:p w14:paraId="784985A7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81" w:after="163"/>
        <w:textAlignment w:val="auto"/>
        <w:outlineLvl w:val="9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162"/>
        <w:gridCol w:w="1263"/>
        <w:gridCol w:w="1263"/>
        <w:gridCol w:w="1263"/>
        <w:gridCol w:w="1262"/>
        <w:gridCol w:w="1262"/>
      </w:tblGrid>
      <w:tr w14:paraId="502D5BC6">
        <w:trPr>
          <w:trHeight w:val="987" w:hRule="atLeast"/>
          <w:jc w:val="center"/>
        </w:trPr>
        <w:tc>
          <w:tcPr>
            <w:tcW w:w="2113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37995B2B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ind w:firstLine="489"/>
              <w:jc w:val="right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课程目标</w:t>
            </w:r>
          </w:p>
          <w:p w14:paraId="114B5212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ind w:right="210"/>
              <w:jc w:val="left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</w:p>
          <w:p w14:paraId="11984107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ind w:right="210"/>
              <w:jc w:val="left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教学单元</w:t>
            </w:r>
          </w:p>
        </w:tc>
        <w:tc>
          <w:tcPr>
            <w:tcW w:w="1235" w:type="dxa"/>
            <w:tcBorders>
              <w:top w:val="single" w:color="auto" w:sz="12" w:space="0"/>
            </w:tcBorders>
            <w:vAlign w:val="center"/>
          </w:tcPr>
          <w:p w14:paraId="19035DC5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1</w:t>
            </w:r>
          </w:p>
        </w:tc>
        <w:tc>
          <w:tcPr>
            <w:tcW w:w="1235" w:type="dxa"/>
            <w:tcBorders>
              <w:top w:val="single" w:color="auto" w:sz="12" w:space="0"/>
            </w:tcBorders>
            <w:vAlign w:val="center"/>
          </w:tcPr>
          <w:p w14:paraId="31311932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2</w:t>
            </w:r>
          </w:p>
        </w:tc>
        <w:tc>
          <w:tcPr>
            <w:tcW w:w="1235" w:type="dxa"/>
            <w:tcBorders>
              <w:top w:val="single" w:color="auto" w:sz="12" w:space="0"/>
            </w:tcBorders>
            <w:vAlign w:val="center"/>
          </w:tcPr>
          <w:p w14:paraId="43A069B5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3</w:t>
            </w:r>
          </w:p>
        </w:tc>
        <w:tc>
          <w:tcPr>
            <w:tcW w:w="1234" w:type="dxa"/>
            <w:tcBorders>
              <w:top w:val="single" w:color="auto" w:sz="12" w:space="0"/>
            </w:tcBorders>
            <w:vAlign w:val="center"/>
          </w:tcPr>
          <w:p w14:paraId="7C0416B9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4</w:t>
            </w:r>
          </w:p>
        </w:tc>
        <w:tc>
          <w:tcPr>
            <w:tcW w:w="1234" w:type="dxa"/>
            <w:tcBorders>
              <w:top w:val="single" w:color="auto" w:sz="12" w:space="0"/>
            </w:tcBorders>
            <w:vAlign w:val="center"/>
          </w:tcPr>
          <w:p w14:paraId="43E8AC78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5</w:t>
            </w:r>
          </w:p>
        </w:tc>
      </w:tr>
      <w:tr w14:paraId="655D2B44">
        <w:trPr>
          <w:trHeight w:val="421" w:hRule="atLeast"/>
          <w:jc w:val="center"/>
        </w:trPr>
        <w:tc>
          <w:tcPr>
            <w:tcW w:w="2113" w:type="dxa"/>
            <w:tcBorders>
              <w:left w:val="single" w:color="auto" w:sz="12" w:space="0"/>
            </w:tcBorders>
          </w:tcPr>
          <w:p w14:paraId="77268F25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eastAsiaTheme="minorEastAsia"/>
              </w:rPr>
            </w:pPr>
            <w:r>
              <w:rPr>
                <w:rFonts w:eastAsiaTheme="minorEastAsia"/>
              </w:rPr>
              <w:t>第一单元 基础知识与操作</w:t>
            </w:r>
          </w:p>
        </w:tc>
        <w:tc>
          <w:tcPr>
            <w:tcW w:w="1235" w:type="dxa"/>
            <w:vAlign w:val="center"/>
          </w:tcPr>
          <w:p w14:paraId="1D4E84F1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vAlign w:val="center"/>
          </w:tcPr>
          <w:p w14:paraId="684EC6D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1235" w:type="dxa"/>
            <w:vAlign w:val="center"/>
          </w:tcPr>
          <w:p w14:paraId="312E6C1D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1234" w:type="dxa"/>
            <w:vAlign w:val="center"/>
          </w:tcPr>
          <w:p w14:paraId="5CF657B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7191119A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</w:tr>
      <w:tr w14:paraId="77E4C221">
        <w:trPr>
          <w:trHeight w:val="421" w:hRule="atLeast"/>
          <w:jc w:val="center"/>
        </w:trPr>
        <w:tc>
          <w:tcPr>
            <w:tcW w:w="2113" w:type="dxa"/>
            <w:tcBorders>
              <w:left w:val="single" w:color="auto" w:sz="12" w:space="0"/>
            </w:tcBorders>
          </w:tcPr>
          <w:p w14:paraId="4251C651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eastAsiaTheme="minorEastAsia"/>
              </w:rPr>
            </w:pPr>
            <w:r>
              <w:rPr>
                <w:rFonts w:eastAsiaTheme="minorEastAsia"/>
              </w:rPr>
              <w:t>第二单元 建模方法</w:t>
            </w:r>
          </w:p>
        </w:tc>
        <w:tc>
          <w:tcPr>
            <w:tcW w:w="1235" w:type="dxa"/>
            <w:vAlign w:val="center"/>
          </w:tcPr>
          <w:p w14:paraId="5631D981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vAlign w:val="center"/>
          </w:tcPr>
          <w:p w14:paraId="51722006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1235" w:type="dxa"/>
            <w:vAlign w:val="center"/>
          </w:tcPr>
          <w:p w14:paraId="2243712E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1059B3E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5C565AC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</w:tr>
      <w:tr w14:paraId="05510A4C">
        <w:trPr>
          <w:trHeight w:val="421" w:hRule="atLeast"/>
          <w:jc w:val="center"/>
        </w:trPr>
        <w:tc>
          <w:tcPr>
            <w:tcW w:w="2113" w:type="dxa"/>
            <w:tcBorders>
              <w:left w:val="single" w:color="auto" w:sz="12" w:space="0"/>
            </w:tcBorders>
          </w:tcPr>
          <w:p w14:paraId="1DF85D48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第三单元 视觉工具的使用</w:t>
            </w:r>
          </w:p>
        </w:tc>
        <w:tc>
          <w:tcPr>
            <w:tcW w:w="1235" w:type="dxa"/>
            <w:vAlign w:val="center"/>
          </w:tcPr>
          <w:p w14:paraId="5C1F5F35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vAlign w:val="center"/>
          </w:tcPr>
          <w:p w14:paraId="3A945C1B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1235" w:type="dxa"/>
            <w:vAlign w:val="center"/>
          </w:tcPr>
          <w:p w14:paraId="689E4834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1B44EF46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3E9C17FD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</w:tr>
      <w:tr w14:paraId="69A9DB59">
        <w:trPr>
          <w:trHeight w:val="421" w:hRule="atLeast"/>
          <w:jc w:val="center"/>
        </w:trPr>
        <w:tc>
          <w:tcPr>
            <w:tcW w:w="2113" w:type="dxa"/>
            <w:tcBorders>
              <w:left w:val="single" w:color="auto" w:sz="12" w:space="0"/>
            </w:tcBorders>
          </w:tcPr>
          <w:p w14:paraId="1104C0BB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第四单元 材质与环境</w:t>
            </w:r>
          </w:p>
        </w:tc>
        <w:tc>
          <w:tcPr>
            <w:tcW w:w="1235" w:type="dxa"/>
            <w:vAlign w:val="center"/>
          </w:tcPr>
          <w:p w14:paraId="7E628578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vAlign w:val="center"/>
          </w:tcPr>
          <w:p w14:paraId="24A74DF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1235" w:type="dxa"/>
            <w:vAlign w:val="center"/>
          </w:tcPr>
          <w:p w14:paraId="4167FDCA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4D7FF32B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40A088B8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</w:tr>
      <w:tr w14:paraId="6473BEEA">
        <w:trPr>
          <w:trHeight w:val="421" w:hRule="atLeast"/>
          <w:jc w:val="center"/>
        </w:trPr>
        <w:tc>
          <w:tcPr>
            <w:tcW w:w="2113" w:type="dxa"/>
            <w:tcBorders>
              <w:left w:val="single" w:color="auto" w:sz="12" w:space="0"/>
            </w:tcBorders>
          </w:tcPr>
          <w:p w14:paraId="3450E3BD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第五单元 渲染与动画</w:t>
            </w:r>
          </w:p>
        </w:tc>
        <w:tc>
          <w:tcPr>
            <w:tcW w:w="1235" w:type="dxa"/>
            <w:vAlign w:val="center"/>
          </w:tcPr>
          <w:p w14:paraId="1E3D8D8C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vAlign w:val="center"/>
          </w:tcPr>
          <w:p w14:paraId="3A6BFD11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1235" w:type="dxa"/>
            <w:vAlign w:val="center"/>
          </w:tcPr>
          <w:p w14:paraId="5BD83A68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1145A1B1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vAlign w:val="center"/>
          </w:tcPr>
          <w:p w14:paraId="3758CB15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</w:tr>
      <w:tr w14:paraId="0593E2DE">
        <w:trPr>
          <w:trHeight w:val="421" w:hRule="atLeast"/>
          <w:jc w:val="center"/>
        </w:trPr>
        <w:tc>
          <w:tcPr>
            <w:tcW w:w="2113" w:type="dxa"/>
            <w:tcBorders>
              <w:left w:val="single" w:color="auto" w:sz="12" w:space="0"/>
              <w:bottom w:val="single" w:color="auto" w:sz="12" w:space="0"/>
            </w:tcBorders>
          </w:tcPr>
          <w:p w14:paraId="4770127D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第六单元 特效与系统应用</w:t>
            </w:r>
          </w:p>
        </w:tc>
        <w:tc>
          <w:tcPr>
            <w:tcW w:w="1235" w:type="dxa"/>
            <w:tcBorders>
              <w:bottom w:val="single" w:color="auto" w:sz="12" w:space="0"/>
            </w:tcBorders>
            <w:vAlign w:val="center"/>
          </w:tcPr>
          <w:p w14:paraId="31822C7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tcBorders>
              <w:bottom w:val="single" w:color="auto" w:sz="12" w:space="0"/>
            </w:tcBorders>
            <w:vAlign w:val="center"/>
          </w:tcPr>
          <w:p w14:paraId="69EF9529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5" w:type="dxa"/>
            <w:tcBorders>
              <w:bottom w:val="single" w:color="auto" w:sz="12" w:space="0"/>
            </w:tcBorders>
            <w:vAlign w:val="center"/>
          </w:tcPr>
          <w:p w14:paraId="273A22E2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tcBorders>
              <w:bottom w:val="single" w:color="auto" w:sz="12" w:space="0"/>
            </w:tcBorders>
            <w:vAlign w:val="center"/>
          </w:tcPr>
          <w:p w14:paraId="7C58FB89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  <w:tc>
          <w:tcPr>
            <w:tcW w:w="1234" w:type="dxa"/>
            <w:tcBorders>
              <w:bottom w:val="single" w:color="auto" w:sz="12" w:space="0"/>
            </w:tcBorders>
            <w:vAlign w:val="center"/>
          </w:tcPr>
          <w:p w14:paraId="7CB6A2E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√</w:t>
            </w:r>
          </w:p>
        </w:tc>
      </w:tr>
    </w:tbl>
    <w:p w14:paraId="157310A1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326" w:beforeLines="100" w:after="163"/>
        <w:textAlignment w:val="auto"/>
        <w:outlineLvl w:val="9"/>
      </w:pPr>
      <w:r>
        <w:rPr>
          <w:rFonts w:hint="eastAsia"/>
        </w:rPr>
        <w:t>（三）课程教学方法与学时分配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1872"/>
        <w:gridCol w:w="2755"/>
        <w:gridCol w:w="1738"/>
        <w:gridCol w:w="725"/>
        <w:gridCol w:w="669"/>
        <w:gridCol w:w="717"/>
      </w:tblGrid>
      <w:tr w14:paraId="723C6C64">
        <w:trPr>
          <w:trHeight w:val="340" w:hRule="atLeast"/>
          <w:jc w:val="center"/>
        </w:trPr>
        <w:tc>
          <w:tcPr>
            <w:tcW w:w="1828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A51A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690" w:type="dxa"/>
            <w:vMerge w:val="restart"/>
            <w:tcBorders>
              <w:top w:val="single" w:color="auto" w:sz="12" w:space="0"/>
            </w:tcBorders>
            <w:vAlign w:val="center"/>
          </w:tcPr>
          <w:p w14:paraId="29EF223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color="auto" w:sz="12" w:space="0"/>
            </w:tcBorders>
            <w:vAlign w:val="center"/>
          </w:tcPr>
          <w:p w14:paraId="55FF523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F03075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学时</w:t>
            </w:r>
            <w:r>
              <w:rPr>
                <w:rFonts w:hint="eastAsia" w:ascii="Times New Roman" w:hAnsi="Times New Roman"/>
                <w:bCs w:val="0"/>
                <w:szCs w:val="21"/>
              </w:rPr>
              <w:t>分配</w:t>
            </w:r>
          </w:p>
        </w:tc>
      </w:tr>
      <w:tr w14:paraId="719235CE">
        <w:trPr>
          <w:trHeight w:val="340" w:hRule="atLeast"/>
          <w:jc w:val="center"/>
        </w:trPr>
        <w:tc>
          <w:tcPr>
            <w:tcW w:w="1828" w:type="dxa"/>
            <w:vMerge w:val="continue"/>
            <w:tcBorders>
              <w:left w:val="single" w:color="auto" w:sz="12" w:space="0"/>
            </w:tcBorders>
          </w:tcPr>
          <w:p w14:paraId="13171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 w:val="21"/>
                <w:szCs w:val="21"/>
              </w:rPr>
            </w:pPr>
          </w:p>
        </w:tc>
        <w:tc>
          <w:tcPr>
            <w:tcW w:w="2690" w:type="dxa"/>
            <w:vMerge w:val="continue"/>
          </w:tcPr>
          <w:p w14:paraId="785FD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 w:val="21"/>
                <w:szCs w:val="21"/>
              </w:rPr>
            </w:pPr>
          </w:p>
        </w:tc>
        <w:tc>
          <w:tcPr>
            <w:tcW w:w="1697" w:type="dxa"/>
            <w:vMerge w:val="continue"/>
          </w:tcPr>
          <w:p w14:paraId="10FE3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3E6C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47B53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0D6ED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小计</w:t>
            </w:r>
          </w:p>
        </w:tc>
      </w:tr>
      <w:tr w14:paraId="39237E89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11271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Theme="minorEastAsia"/>
                <w:bCs/>
                <w:sz w:val="21"/>
                <w:szCs w:val="21"/>
              </w:rPr>
            </w:pPr>
            <w:r>
              <w:rPr>
                <w:rFonts w:ascii="Times New Roman" w:hAnsi="Times New Roman" w:eastAsiaTheme="minorEastAsia"/>
                <w:sz w:val="21"/>
                <w:szCs w:val="21"/>
              </w:rPr>
              <w:t>第一单元 基础知识与操作</w:t>
            </w:r>
          </w:p>
        </w:tc>
        <w:tc>
          <w:tcPr>
            <w:tcW w:w="2690" w:type="dxa"/>
            <w:vAlign w:val="center"/>
          </w:tcPr>
          <w:p w14:paraId="2407F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讲授、实践</w:t>
            </w:r>
          </w:p>
        </w:tc>
        <w:tc>
          <w:tcPr>
            <w:tcW w:w="1697" w:type="dxa"/>
            <w:vAlign w:val="center"/>
          </w:tcPr>
          <w:p w14:paraId="617890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69418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116BC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E61C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</w:tr>
      <w:tr w14:paraId="1F2D0EDB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21BA3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第二单元 建模方法</w:t>
            </w:r>
          </w:p>
        </w:tc>
        <w:tc>
          <w:tcPr>
            <w:tcW w:w="2690" w:type="dxa"/>
            <w:vAlign w:val="center"/>
          </w:tcPr>
          <w:p w14:paraId="7F4EC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讲授、实践</w:t>
            </w:r>
          </w:p>
        </w:tc>
        <w:tc>
          <w:tcPr>
            <w:tcW w:w="1697" w:type="dxa"/>
            <w:vAlign w:val="center"/>
          </w:tcPr>
          <w:p w14:paraId="0C885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65D6C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7AC48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0685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</w:tr>
      <w:tr w14:paraId="1E8FD7C6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1E9FA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第三单元 视觉工具的使用</w:t>
            </w:r>
          </w:p>
        </w:tc>
        <w:tc>
          <w:tcPr>
            <w:tcW w:w="2690" w:type="dxa"/>
            <w:vAlign w:val="center"/>
          </w:tcPr>
          <w:p w14:paraId="6E0E0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讲授、实践</w:t>
            </w:r>
          </w:p>
        </w:tc>
        <w:tc>
          <w:tcPr>
            <w:tcW w:w="1697" w:type="dxa"/>
            <w:vAlign w:val="center"/>
          </w:tcPr>
          <w:p w14:paraId="2A8DF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23315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38191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3597E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</w:tr>
      <w:tr w14:paraId="2BD6B402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0F559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第四单元 材质与环境</w:t>
            </w:r>
          </w:p>
        </w:tc>
        <w:tc>
          <w:tcPr>
            <w:tcW w:w="2690" w:type="dxa"/>
            <w:vAlign w:val="center"/>
          </w:tcPr>
          <w:p w14:paraId="61508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讲授、实践</w:t>
            </w:r>
          </w:p>
        </w:tc>
        <w:tc>
          <w:tcPr>
            <w:tcW w:w="1697" w:type="dxa"/>
            <w:vAlign w:val="center"/>
          </w:tcPr>
          <w:p w14:paraId="69ED5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5182A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653" w:type="dxa"/>
            <w:vAlign w:val="center"/>
          </w:tcPr>
          <w:p w14:paraId="1C8BF2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3FE0B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</w:tr>
      <w:tr w14:paraId="1A7402E8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66C47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第五单元 渲染与动画</w:t>
            </w:r>
          </w:p>
        </w:tc>
        <w:tc>
          <w:tcPr>
            <w:tcW w:w="2690" w:type="dxa"/>
            <w:vAlign w:val="center"/>
          </w:tcPr>
          <w:p w14:paraId="1ADFA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实践</w:t>
            </w:r>
          </w:p>
        </w:tc>
        <w:tc>
          <w:tcPr>
            <w:tcW w:w="1697" w:type="dxa"/>
            <w:vAlign w:val="center"/>
          </w:tcPr>
          <w:p w14:paraId="11186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6FD86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5B2916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5254C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4</w:t>
            </w:r>
          </w:p>
        </w:tc>
      </w:tr>
      <w:tr w14:paraId="6E24E823">
        <w:trPr>
          <w:trHeight w:val="454" w:hRule="atLeast"/>
          <w:jc w:val="center"/>
        </w:trPr>
        <w:tc>
          <w:tcPr>
            <w:tcW w:w="1828" w:type="dxa"/>
            <w:tcBorders>
              <w:left w:val="single" w:color="auto" w:sz="12" w:space="0"/>
            </w:tcBorders>
            <w:vAlign w:val="center"/>
          </w:tcPr>
          <w:p w14:paraId="6FA04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第六单元 特效与系统应用</w:t>
            </w:r>
          </w:p>
        </w:tc>
        <w:tc>
          <w:tcPr>
            <w:tcW w:w="2690" w:type="dxa"/>
            <w:vAlign w:val="center"/>
          </w:tcPr>
          <w:p w14:paraId="72A9C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实践</w:t>
            </w:r>
          </w:p>
        </w:tc>
        <w:tc>
          <w:tcPr>
            <w:tcW w:w="1697" w:type="dxa"/>
            <w:vAlign w:val="center"/>
          </w:tcPr>
          <w:p w14:paraId="77598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制图</w:t>
            </w:r>
          </w:p>
        </w:tc>
        <w:tc>
          <w:tcPr>
            <w:tcW w:w="708" w:type="dxa"/>
            <w:vAlign w:val="center"/>
          </w:tcPr>
          <w:p w14:paraId="40905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53" w:type="dxa"/>
            <w:vAlign w:val="center"/>
          </w:tcPr>
          <w:p w14:paraId="7D080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37345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</w:tr>
      <w:tr w14:paraId="53A206BB"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18EA68E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73C60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0FA2D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5DDA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32</w:t>
            </w:r>
          </w:p>
        </w:tc>
      </w:tr>
    </w:tbl>
    <w:p w14:paraId="09E925C1">
      <w:pPr>
        <w:pStyle w:val="17"/>
        <w:keepNext w:val="0"/>
        <w:keepLines w:val="0"/>
        <w:pageBreakBefore w:val="0"/>
        <w:kinsoku/>
        <w:wordWrap/>
        <w:overflowPunct/>
        <w:topLinePunct w:val="0"/>
        <w:bidi w:val="0"/>
        <w:spacing w:before="326" w:beforeLines="100" w:after="163"/>
        <w:textAlignment w:val="auto"/>
        <w:outlineLvl w:val="9"/>
      </w:pPr>
      <w:r>
        <w:rPr>
          <w:rFonts w:hint="eastAsia"/>
        </w:rPr>
        <w:t>（四）课内实验项目与基本要求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20"/>
        <w:gridCol w:w="1882"/>
        <w:gridCol w:w="4061"/>
        <w:gridCol w:w="862"/>
        <w:gridCol w:w="950"/>
      </w:tblGrid>
      <w:tr w14:paraId="61BD9108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A0D37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B9E859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实验项目名称</w:t>
            </w:r>
          </w:p>
        </w:tc>
        <w:tc>
          <w:tcPr>
            <w:tcW w:w="396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3715A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目标要求与主要内容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06D6C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实验</w:t>
            </w:r>
          </w:p>
          <w:p w14:paraId="52A2BF5F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8947228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实验</w:t>
            </w:r>
          </w:p>
          <w:p w14:paraId="01EC4FC9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  <w:szCs w:val="16"/>
              </w:rPr>
            </w:pPr>
            <w:r>
              <w:rPr>
                <w:rFonts w:hint="eastAsia" w:ascii="Times New Roman" w:hAnsi="Times New Roman"/>
                <w:szCs w:val="16"/>
              </w:rPr>
              <w:t>类型</w:t>
            </w:r>
          </w:p>
        </w:tc>
      </w:tr>
      <w:tr w14:paraId="6B3E9442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1D6E5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DEAC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基础建模实践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3C69A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eastAsiaTheme="minorEastAsia"/>
              </w:rPr>
            </w:pPr>
            <w:r>
              <w:rPr>
                <w:rFonts w:eastAsiaTheme="minorEastAsia"/>
              </w:rPr>
              <w:t>目标要求：掌握Cinema 4D的基本操作和建模方法，能够独立完成基础的三维模型设计。</w:t>
            </w:r>
          </w:p>
          <w:p w14:paraId="3F56EFA4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</w:pPr>
            <w:r>
              <w:rPr>
                <w:rFonts w:eastAsiaTheme="minorEastAsia"/>
              </w:rPr>
              <w:t>主要内容：学生需要使用Cinema 4D软件，根据给定的设计要求，创建一个基础的三维模型。模型可以是一个简单的物体，如家具、工具或者建筑等。学生需要展示他们对于软件的基本操作和建模方法的理解和应用。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43D6D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5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0251FB7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ascii="Cambria Math" w:hAnsi="Cambria Math" w:cs="Cambria Math"/>
              </w:rPr>
              <w:t>①</w:t>
            </w:r>
          </w:p>
        </w:tc>
      </w:tr>
      <w:tr w14:paraId="0C625DE9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A8D94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64C4C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动画设计实践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9B7C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both"/>
              <w:textAlignment w:val="auto"/>
              <w:outlineLvl w:val="9"/>
              <w:rPr>
                <w:rFonts w:eastAsiaTheme="minorEastAsia"/>
              </w:rPr>
            </w:pPr>
            <w:r>
              <w:rPr>
                <w:rFonts w:eastAsiaTheme="minorEastAsia"/>
              </w:rPr>
              <w:t>目标要求：掌握Cinema 4D的动画制作方法，能够独立完成基础的三维动画设计。</w:t>
            </w:r>
          </w:p>
          <w:p w14:paraId="229D3C85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both"/>
              <w:textAlignment w:val="auto"/>
              <w:outlineLvl w:val="9"/>
            </w:pPr>
            <w:r>
              <w:rPr>
                <w:rFonts w:eastAsiaTheme="minorEastAsia"/>
              </w:rPr>
              <w:t>主要内容：学生需要使用Cinema 4D软件，根据给定的设计要求，创建一个基础的三维动画。动画可以是一个简单的场景，如日出、下雨或者物体运动等。学生需要展示他们对于软件的动画制作方法的理解和应用。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77643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5</w:t>
            </w:r>
          </w:p>
        </w:tc>
        <w:tc>
          <w:tcPr>
            <w:tcW w:w="92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5F0A7CE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③</w:t>
            </w:r>
          </w:p>
        </w:tc>
      </w:tr>
      <w:tr w14:paraId="328DBA85"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95F7B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0AF20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特效制作实践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B365E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eastAsiaTheme="minorEastAsia"/>
              </w:rPr>
            </w:pPr>
            <w:r>
              <w:rPr>
                <w:rFonts w:eastAsiaTheme="minorEastAsia"/>
              </w:rPr>
              <w:t>目标要求：掌握Cinema 4D的特效制作方法，能够独立完成基础的三维特效设计。</w:t>
            </w:r>
          </w:p>
          <w:p w14:paraId="58818286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</w:pPr>
            <w:r>
              <w:rPr>
                <w:rFonts w:eastAsiaTheme="minorEastAsia"/>
              </w:rPr>
              <w:t>主要内容：学生需要使用Cinema 4D软件，根据给定的设计要求，创建一个基础的三维特效。特效可以是一个简单的场景，如火焰、烟雾或者粒子效果等。学生需要展示他们对于软件的特效制作方法的理解和应用。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79285E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6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20E883F">
            <w:pPr>
              <w:pStyle w:val="14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④</w:t>
            </w:r>
          </w:p>
        </w:tc>
      </w:tr>
      <w:tr w14:paraId="6B6D1769">
        <w:trPr>
          <w:trHeight w:val="454" w:hRule="atLeast"/>
          <w:jc w:val="center"/>
        </w:trPr>
        <w:tc>
          <w:tcPr>
            <w:tcW w:w="827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94DDF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实验类型：①演示型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②验证型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③设计型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hint="eastAsia" w:ascii="Times New Roman" w:hAnsi="Times New Roman"/>
              </w:rPr>
              <w:t>④综合型</w:t>
            </w:r>
          </w:p>
        </w:tc>
      </w:tr>
    </w:tbl>
    <w:p w14:paraId="53280836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before="326" w:beforeLines="100" w:line="360" w:lineRule="auto"/>
        <w:ind w:firstLine="140" w:firstLineChars="50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四、课程思政教学设计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144E6995">
        <w:trPr>
          <w:trHeight w:val="1128" w:hRule="atLeast"/>
        </w:trPr>
        <w:tc>
          <w:tcPr>
            <w:tcW w:w="8276" w:type="dxa"/>
            <w:vAlign w:val="center"/>
          </w:tcPr>
          <w:p w14:paraId="41CFF42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</w:pPr>
            <w:r>
              <w:t>1. 职业道德教育： 在教授技术知识和技能的同时，强调职业道德的重要性。例如，讲解在使用Cinema 4D等软件时，应尊重知识产权，不得非法下载或使用盗版软件。在实际工作中，应遵守行业规范，尊重他人的创新成果，不得抄袭或盗用他人的设计。</w:t>
            </w:r>
          </w:p>
          <w:p w14:paraId="61D5812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</w:pPr>
            <w:r>
              <w:t>2. 团队协作教育： 在实验项目中，可以设计一些需要团队合作完成的任务，以培养学生的团队协作能力。在团队合作的过程中，强调公平、公正、诚实、信任等社会主义核心价值观。</w:t>
            </w:r>
          </w:p>
          <w:p w14:paraId="56C7EBD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</w:pPr>
            <w:r>
              <w:t>3. 创新精神教育： 鼓励学生在学习和实践过程中，发挥创新精神，设计出独特的三维模型和动画。在此过程中，强调创新的重要性，并引导学生理解社会主义创新理论。</w:t>
            </w:r>
          </w:p>
          <w:p w14:paraId="4EAE6B1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</w:pPr>
            <w:r>
              <w:t>4. 社会责任教育： 在讲解三维表现技术在各行业中的应用时，强调技术对社会的影响，以及技术人员应承担的社会责任。例如，讲解在动画制作中，应避免制作含有暴力、色情等不良内容的动画，以维护社会公德。</w:t>
            </w:r>
          </w:p>
        </w:tc>
      </w:tr>
    </w:tbl>
    <w:p w14:paraId="1F353D04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before="326" w:beforeLines="100" w:line="36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五、课程考核</w:t>
      </w:r>
    </w:p>
    <w:tbl>
      <w:tblPr>
        <w:tblStyle w:val="8"/>
        <w:tblW w:w="82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695"/>
        <w:gridCol w:w="2310"/>
        <w:gridCol w:w="600"/>
        <w:gridCol w:w="600"/>
        <w:gridCol w:w="600"/>
        <w:gridCol w:w="600"/>
        <w:gridCol w:w="601"/>
        <w:gridCol w:w="697"/>
        <w:gridCol w:w="692"/>
      </w:tblGrid>
      <w:tr w14:paraId="6789B535">
        <w:trPr>
          <w:trHeight w:val="513" w:hRule="atLeast"/>
        </w:trPr>
        <w:tc>
          <w:tcPr>
            <w:tcW w:w="821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58728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695" w:type="dxa"/>
            <w:vMerge w:val="restart"/>
            <w:tcBorders>
              <w:top w:val="single" w:color="auto" w:sz="12" w:space="0"/>
            </w:tcBorders>
            <w:vAlign w:val="center"/>
          </w:tcPr>
          <w:p w14:paraId="3D6497A1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占比</w:t>
            </w:r>
          </w:p>
        </w:tc>
        <w:tc>
          <w:tcPr>
            <w:tcW w:w="2310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5719CF08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考核方式</w:t>
            </w:r>
          </w:p>
        </w:tc>
        <w:tc>
          <w:tcPr>
            <w:tcW w:w="3698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1428540E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课程目标</w:t>
            </w:r>
          </w:p>
        </w:tc>
        <w:tc>
          <w:tcPr>
            <w:tcW w:w="692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A2D5102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合计</w:t>
            </w:r>
          </w:p>
        </w:tc>
      </w:tr>
      <w:tr w14:paraId="0B326690">
        <w:trPr>
          <w:trHeight w:val="513" w:hRule="atLeast"/>
        </w:trPr>
        <w:tc>
          <w:tcPr>
            <w:tcW w:w="821" w:type="dxa"/>
            <w:vMerge w:val="continue"/>
            <w:tcBorders>
              <w:left w:val="single" w:color="auto" w:sz="12" w:space="0"/>
            </w:tcBorders>
          </w:tcPr>
          <w:p w14:paraId="28F99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/>
                <w:bCs/>
                <w:sz w:val="21"/>
                <w:szCs w:val="21"/>
              </w:rPr>
            </w:pPr>
          </w:p>
        </w:tc>
        <w:tc>
          <w:tcPr>
            <w:tcW w:w="695" w:type="dxa"/>
            <w:vMerge w:val="continue"/>
          </w:tcPr>
          <w:p w14:paraId="0A7A2FA2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both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2310" w:type="dxa"/>
            <w:vMerge w:val="continue"/>
            <w:tcBorders>
              <w:right w:val="double" w:color="auto" w:sz="4" w:space="0"/>
            </w:tcBorders>
          </w:tcPr>
          <w:p w14:paraId="0C82107A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both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600" w:type="dxa"/>
            <w:tcBorders>
              <w:left w:val="double" w:color="auto" w:sz="4" w:space="0"/>
            </w:tcBorders>
            <w:vAlign w:val="center"/>
          </w:tcPr>
          <w:p w14:paraId="74BEDBC1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1</w:t>
            </w:r>
          </w:p>
        </w:tc>
        <w:tc>
          <w:tcPr>
            <w:tcW w:w="600" w:type="dxa"/>
            <w:vAlign w:val="center"/>
          </w:tcPr>
          <w:p w14:paraId="5901673C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2</w:t>
            </w:r>
          </w:p>
        </w:tc>
        <w:tc>
          <w:tcPr>
            <w:tcW w:w="600" w:type="dxa"/>
            <w:vAlign w:val="center"/>
          </w:tcPr>
          <w:p w14:paraId="25E246D5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3</w:t>
            </w:r>
          </w:p>
        </w:tc>
        <w:tc>
          <w:tcPr>
            <w:tcW w:w="600" w:type="dxa"/>
            <w:vAlign w:val="center"/>
          </w:tcPr>
          <w:p w14:paraId="74C431A4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4</w:t>
            </w:r>
          </w:p>
        </w:tc>
        <w:tc>
          <w:tcPr>
            <w:tcW w:w="601" w:type="dxa"/>
            <w:vAlign w:val="center"/>
          </w:tcPr>
          <w:p w14:paraId="25B15FBC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5</w:t>
            </w:r>
          </w:p>
        </w:tc>
        <w:tc>
          <w:tcPr>
            <w:tcW w:w="692" w:type="dxa"/>
            <w:vAlign w:val="center"/>
          </w:tcPr>
          <w:p w14:paraId="20B26C37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6</w:t>
            </w:r>
          </w:p>
        </w:tc>
        <w:tc>
          <w:tcPr>
            <w:tcW w:w="692" w:type="dxa"/>
            <w:tcBorders>
              <w:right w:val="single" w:color="auto" w:sz="12" w:space="0"/>
            </w:tcBorders>
          </w:tcPr>
          <w:p w14:paraId="77EE474E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14:paraId="746FF75F">
        <w:trPr>
          <w:trHeight w:val="513" w:hRule="atLeast"/>
        </w:trPr>
        <w:tc>
          <w:tcPr>
            <w:tcW w:w="821" w:type="dxa"/>
            <w:tcBorders>
              <w:left w:val="single" w:color="auto" w:sz="12" w:space="0"/>
            </w:tcBorders>
            <w:vAlign w:val="center"/>
          </w:tcPr>
          <w:p w14:paraId="27955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95" w:type="dxa"/>
            <w:vAlign w:val="center"/>
          </w:tcPr>
          <w:p w14:paraId="26A17CB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30</w:t>
            </w:r>
            <w:r>
              <w:t>%</w:t>
            </w:r>
          </w:p>
        </w:tc>
        <w:tc>
          <w:tcPr>
            <w:tcW w:w="2310" w:type="dxa"/>
            <w:tcBorders>
              <w:right w:val="double" w:color="auto" w:sz="4" w:space="0"/>
            </w:tcBorders>
            <w:vAlign w:val="center"/>
          </w:tcPr>
          <w:p w14:paraId="1C3A266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基础建模实践</w:t>
            </w:r>
          </w:p>
        </w:tc>
        <w:tc>
          <w:tcPr>
            <w:tcW w:w="600" w:type="dxa"/>
            <w:tcBorders>
              <w:left w:val="double" w:color="auto" w:sz="4" w:space="0"/>
            </w:tcBorders>
            <w:vAlign w:val="center"/>
          </w:tcPr>
          <w:p w14:paraId="7DE0713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30</w:t>
            </w:r>
          </w:p>
        </w:tc>
        <w:tc>
          <w:tcPr>
            <w:tcW w:w="600" w:type="dxa"/>
            <w:vAlign w:val="center"/>
          </w:tcPr>
          <w:p w14:paraId="2665555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35</w:t>
            </w:r>
          </w:p>
        </w:tc>
        <w:tc>
          <w:tcPr>
            <w:tcW w:w="600" w:type="dxa"/>
            <w:vAlign w:val="center"/>
          </w:tcPr>
          <w:p w14:paraId="1887507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600" w:type="dxa"/>
            <w:vAlign w:val="center"/>
          </w:tcPr>
          <w:p w14:paraId="1A266349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601" w:type="dxa"/>
            <w:vAlign w:val="center"/>
          </w:tcPr>
          <w:p w14:paraId="4DBBA5A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692" w:type="dxa"/>
            <w:vAlign w:val="center"/>
          </w:tcPr>
          <w:p w14:paraId="32CE27F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692" w:type="dxa"/>
            <w:tcBorders>
              <w:right w:val="single" w:color="auto" w:sz="12" w:space="0"/>
            </w:tcBorders>
            <w:vAlign w:val="center"/>
          </w:tcPr>
          <w:p w14:paraId="29DF3E9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100</w:t>
            </w:r>
          </w:p>
        </w:tc>
      </w:tr>
      <w:tr w14:paraId="2DB6C71B">
        <w:trPr>
          <w:trHeight w:val="513" w:hRule="atLeast"/>
        </w:trPr>
        <w:tc>
          <w:tcPr>
            <w:tcW w:w="821" w:type="dxa"/>
            <w:tcBorders>
              <w:left w:val="single" w:color="auto" w:sz="12" w:space="0"/>
            </w:tcBorders>
            <w:vAlign w:val="center"/>
          </w:tcPr>
          <w:p w14:paraId="0671E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95" w:type="dxa"/>
            <w:vAlign w:val="center"/>
          </w:tcPr>
          <w:p w14:paraId="5AE8D3D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3</w:t>
            </w:r>
            <w:r>
              <w:t>5%</w:t>
            </w:r>
          </w:p>
        </w:tc>
        <w:tc>
          <w:tcPr>
            <w:tcW w:w="2310" w:type="dxa"/>
            <w:tcBorders>
              <w:right w:val="double" w:color="auto" w:sz="4" w:space="0"/>
            </w:tcBorders>
            <w:vAlign w:val="center"/>
          </w:tcPr>
          <w:p w14:paraId="3114D0F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动画设计实践</w:t>
            </w:r>
          </w:p>
        </w:tc>
        <w:tc>
          <w:tcPr>
            <w:tcW w:w="600" w:type="dxa"/>
            <w:tcBorders>
              <w:left w:val="double" w:color="auto" w:sz="4" w:space="0"/>
            </w:tcBorders>
            <w:vAlign w:val="center"/>
          </w:tcPr>
          <w:p w14:paraId="06A0EA4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20</w:t>
            </w:r>
          </w:p>
        </w:tc>
        <w:tc>
          <w:tcPr>
            <w:tcW w:w="600" w:type="dxa"/>
            <w:vAlign w:val="center"/>
          </w:tcPr>
          <w:p w14:paraId="66492E4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600" w:type="dxa"/>
            <w:vAlign w:val="center"/>
          </w:tcPr>
          <w:p w14:paraId="2081AE11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00" w:type="dxa"/>
            <w:vAlign w:val="center"/>
          </w:tcPr>
          <w:p w14:paraId="29FF8C3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601" w:type="dxa"/>
            <w:vAlign w:val="center"/>
          </w:tcPr>
          <w:p w14:paraId="4BB2926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92" w:type="dxa"/>
            <w:vAlign w:val="center"/>
          </w:tcPr>
          <w:p w14:paraId="1CA7B91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692" w:type="dxa"/>
            <w:tcBorders>
              <w:right w:val="single" w:color="auto" w:sz="12" w:space="0"/>
            </w:tcBorders>
            <w:vAlign w:val="center"/>
          </w:tcPr>
          <w:p w14:paraId="69744CE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100</w:t>
            </w:r>
          </w:p>
        </w:tc>
      </w:tr>
      <w:tr w14:paraId="28442FD9">
        <w:trPr>
          <w:trHeight w:val="513" w:hRule="atLeast"/>
        </w:trPr>
        <w:tc>
          <w:tcPr>
            <w:tcW w:w="821" w:type="dxa"/>
            <w:tcBorders>
              <w:left w:val="single" w:color="auto" w:sz="12" w:space="0"/>
            </w:tcBorders>
            <w:vAlign w:val="center"/>
          </w:tcPr>
          <w:p w14:paraId="58012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 w:val="0"/>
              <w:jc w:val="center"/>
              <w:textAlignment w:val="auto"/>
              <w:outlineLvl w:val="9"/>
              <w:rPr>
                <w:rFonts w:ascii="Times New Roman" w:hAnsi="Times New Roman" w:eastAsia="黑体" w:cs="Arial"/>
                <w:bCs/>
                <w:sz w:val="21"/>
                <w:szCs w:val="21"/>
              </w:rPr>
            </w:pPr>
            <w:r>
              <w:rPr>
                <w:rFonts w:ascii="Times New Roman" w:hAnsi="Times New Roman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95" w:type="dxa"/>
            <w:vAlign w:val="center"/>
          </w:tcPr>
          <w:p w14:paraId="4086240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0</w:t>
            </w:r>
            <w:bookmarkStart w:id="1" w:name="_GoBack"/>
            <w:bookmarkEnd w:id="1"/>
            <w:r>
              <w:t>%</w:t>
            </w:r>
          </w:p>
        </w:tc>
        <w:tc>
          <w:tcPr>
            <w:tcW w:w="2310" w:type="dxa"/>
            <w:tcBorders>
              <w:right w:val="double" w:color="auto" w:sz="4" w:space="0"/>
            </w:tcBorders>
            <w:vAlign w:val="center"/>
          </w:tcPr>
          <w:p w14:paraId="7521AEF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特效制作实践</w:t>
            </w:r>
          </w:p>
        </w:tc>
        <w:tc>
          <w:tcPr>
            <w:tcW w:w="600" w:type="dxa"/>
            <w:tcBorders>
              <w:left w:val="double" w:color="auto" w:sz="4" w:space="0"/>
            </w:tcBorders>
            <w:vAlign w:val="center"/>
          </w:tcPr>
          <w:p w14:paraId="2841DB9A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600" w:type="dxa"/>
            <w:vAlign w:val="center"/>
          </w:tcPr>
          <w:p w14:paraId="01925A52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</w:p>
        </w:tc>
        <w:tc>
          <w:tcPr>
            <w:tcW w:w="600" w:type="dxa"/>
            <w:vAlign w:val="center"/>
          </w:tcPr>
          <w:p w14:paraId="669FB82E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00" w:type="dxa"/>
            <w:vAlign w:val="center"/>
          </w:tcPr>
          <w:p w14:paraId="1869A5FD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01" w:type="dxa"/>
            <w:vAlign w:val="center"/>
          </w:tcPr>
          <w:p w14:paraId="2811A1B8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92" w:type="dxa"/>
            <w:vAlign w:val="center"/>
          </w:tcPr>
          <w:p w14:paraId="4775DC45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92" w:type="dxa"/>
            <w:tcBorders>
              <w:right w:val="single" w:color="auto" w:sz="12" w:space="0"/>
            </w:tcBorders>
            <w:vAlign w:val="center"/>
          </w:tcPr>
          <w:p w14:paraId="0F902766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textAlignment w:val="auto"/>
              <w:outlineLvl w:val="9"/>
            </w:pPr>
            <w:r>
              <w:t>100</w:t>
            </w:r>
          </w:p>
        </w:tc>
      </w:tr>
    </w:tbl>
    <w:p w14:paraId="53AB354E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spacing w:before="326" w:beforeLines="100" w:line="36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271238A0">
        <w:tc>
          <w:tcPr>
            <w:tcW w:w="8296" w:type="dxa"/>
          </w:tcPr>
          <w:p w14:paraId="6A28C434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eastAsia="仿宋" w:cs="仿宋"/>
              </w:rPr>
            </w:pPr>
          </w:p>
          <w:p w14:paraId="38FBFB0C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  <w:rPr>
                <w:rFonts w:hint="eastAsia" w:eastAsiaTheme="minorEastAsia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无</w:t>
            </w:r>
          </w:p>
          <w:p w14:paraId="35DAD460">
            <w:pPr>
              <w:pStyle w:val="1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jc w:val="left"/>
              <w:textAlignment w:val="auto"/>
              <w:outlineLvl w:val="9"/>
            </w:pPr>
          </w:p>
        </w:tc>
      </w:tr>
    </w:tbl>
    <w:p w14:paraId="01130C20"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textAlignment w:val="auto"/>
        <w:outlineLvl w:val="9"/>
        <w:rPr>
          <w:rFonts w:ascii="Times New Roman" w:hAnsi="Times New Roman"/>
          <w:sz w:val="18"/>
          <w:szCs w:val="16"/>
        </w:rPr>
      </w:pPr>
    </w:p>
    <w:p w14:paraId="4F380066"/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FangSong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altName w:val="汉仪书宋二KW"/>
    <w:panose1 w:val="020B0604020202020204"/>
    <w:charset w:val="86"/>
    <w:family w:val="script"/>
    <w:pitch w:val="default"/>
    <w:sig w:usb0="00000000" w:usb1="00000000" w:usb2="0000001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D8191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91F3496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091F3496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FhMjg1YTU4ZDBkOGI5M2E5NDAzYThiMDcxYTRlOWIifQ=="/>
  </w:docVars>
  <w:rsids>
    <w:rsidRoot w:val="00B7651F"/>
    <w:rsid w:val="00015BE6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0F5056"/>
    <w:rsid w:val="000F712F"/>
    <w:rsid w:val="00100633"/>
    <w:rsid w:val="001072BC"/>
    <w:rsid w:val="00114BD6"/>
    <w:rsid w:val="00127C3F"/>
    <w:rsid w:val="00130F6D"/>
    <w:rsid w:val="0013327A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D73A7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34177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2A2E"/>
    <w:rsid w:val="002C58B6"/>
    <w:rsid w:val="002D0E86"/>
    <w:rsid w:val="002D7C47"/>
    <w:rsid w:val="002E1C19"/>
    <w:rsid w:val="002E33CE"/>
    <w:rsid w:val="002E3721"/>
    <w:rsid w:val="002E6F95"/>
    <w:rsid w:val="002E764D"/>
    <w:rsid w:val="002F11A3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1BB7"/>
    <w:rsid w:val="003344A7"/>
    <w:rsid w:val="00334623"/>
    <w:rsid w:val="003367AE"/>
    <w:rsid w:val="00340439"/>
    <w:rsid w:val="00344EF2"/>
    <w:rsid w:val="00347B17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0D42"/>
    <w:rsid w:val="004B408D"/>
    <w:rsid w:val="004B6F68"/>
    <w:rsid w:val="004B73F7"/>
    <w:rsid w:val="004D4FB3"/>
    <w:rsid w:val="004D75A6"/>
    <w:rsid w:val="004E3456"/>
    <w:rsid w:val="004F2F88"/>
    <w:rsid w:val="004F3DF0"/>
    <w:rsid w:val="005074E1"/>
    <w:rsid w:val="005126F1"/>
    <w:rsid w:val="00513F2F"/>
    <w:rsid w:val="0051612A"/>
    <w:rsid w:val="00517176"/>
    <w:rsid w:val="0052192E"/>
    <w:rsid w:val="00524300"/>
    <w:rsid w:val="005249B6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8646E"/>
    <w:rsid w:val="0059045B"/>
    <w:rsid w:val="00590DE4"/>
    <w:rsid w:val="00593E33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02239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246D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086C"/>
    <w:rsid w:val="007740B2"/>
    <w:rsid w:val="00774C1F"/>
    <w:rsid w:val="0078194F"/>
    <w:rsid w:val="007934A4"/>
    <w:rsid w:val="0079631C"/>
    <w:rsid w:val="007A0AC9"/>
    <w:rsid w:val="007A1B70"/>
    <w:rsid w:val="007A57F6"/>
    <w:rsid w:val="007B4FFB"/>
    <w:rsid w:val="007C0BCE"/>
    <w:rsid w:val="007C1D1B"/>
    <w:rsid w:val="007C3566"/>
    <w:rsid w:val="007C7835"/>
    <w:rsid w:val="007C794A"/>
    <w:rsid w:val="007D5326"/>
    <w:rsid w:val="007D5A33"/>
    <w:rsid w:val="007E4F3A"/>
    <w:rsid w:val="007E620F"/>
    <w:rsid w:val="007E663C"/>
    <w:rsid w:val="007E7795"/>
    <w:rsid w:val="007F4A54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76001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5585"/>
    <w:rsid w:val="008B7448"/>
    <w:rsid w:val="008B7E1E"/>
    <w:rsid w:val="008C1F72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0BFE"/>
    <w:rsid w:val="00962FD8"/>
    <w:rsid w:val="009656CC"/>
    <w:rsid w:val="00970E8C"/>
    <w:rsid w:val="00971671"/>
    <w:rsid w:val="00981A37"/>
    <w:rsid w:val="009830B2"/>
    <w:rsid w:val="00985670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C6709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3FD1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63F3F"/>
    <w:rsid w:val="00A769B1"/>
    <w:rsid w:val="00A77DA3"/>
    <w:rsid w:val="00A837D5"/>
    <w:rsid w:val="00A83E04"/>
    <w:rsid w:val="00A91091"/>
    <w:rsid w:val="00A93EE3"/>
    <w:rsid w:val="00A94BA9"/>
    <w:rsid w:val="00AA2801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1075"/>
    <w:rsid w:val="00BD7AB0"/>
    <w:rsid w:val="00BE1705"/>
    <w:rsid w:val="00BF3C20"/>
    <w:rsid w:val="00C011BC"/>
    <w:rsid w:val="00C03DBA"/>
    <w:rsid w:val="00C10830"/>
    <w:rsid w:val="00C112E7"/>
    <w:rsid w:val="00C11C78"/>
    <w:rsid w:val="00C11CD4"/>
    <w:rsid w:val="00C15061"/>
    <w:rsid w:val="00C1713D"/>
    <w:rsid w:val="00C20D9D"/>
    <w:rsid w:val="00C2134F"/>
    <w:rsid w:val="00C234F6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C73C8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212F3"/>
    <w:rsid w:val="00D25590"/>
    <w:rsid w:val="00D335C7"/>
    <w:rsid w:val="00D343A8"/>
    <w:rsid w:val="00D37832"/>
    <w:rsid w:val="00D37EC5"/>
    <w:rsid w:val="00D43E10"/>
    <w:rsid w:val="00D44860"/>
    <w:rsid w:val="00D47689"/>
    <w:rsid w:val="00D50C42"/>
    <w:rsid w:val="00D57CF5"/>
    <w:rsid w:val="00D612BC"/>
    <w:rsid w:val="00D62F98"/>
    <w:rsid w:val="00D66FD6"/>
    <w:rsid w:val="00D7440F"/>
    <w:rsid w:val="00D8285B"/>
    <w:rsid w:val="00D862EB"/>
    <w:rsid w:val="00D86619"/>
    <w:rsid w:val="00D93E7C"/>
    <w:rsid w:val="00DB2BE6"/>
    <w:rsid w:val="00DB33B8"/>
    <w:rsid w:val="00DB76B3"/>
    <w:rsid w:val="00DC7006"/>
    <w:rsid w:val="00DD1052"/>
    <w:rsid w:val="00DD3C7B"/>
    <w:rsid w:val="00DE2B21"/>
    <w:rsid w:val="00DE48DE"/>
    <w:rsid w:val="00DF0DCE"/>
    <w:rsid w:val="00DF1CF2"/>
    <w:rsid w:val="00DF25F2"/>
    <w:rsid w:val="00DF4166"/>
    <w:rsid w:val="00E000F4"/>
    <w:rsid w:val="00E01231"/>
    <w:rsid w:val="00E0150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093C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5B20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A61C3"/>
    <w:rsid w:val="00FB3F6B"/>
    <w:rsid w:val="00FB693D"/>
    <w:rsid w:val="00FB7768"/>
    <w:rsid w:val="00FC7489"/>
    <w:rsid w:val="00FD0882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BFC5BF5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AF947DD"/>
    <w:rsid w:val="7BEFD001"/>
    <w:rsid w:val="7C385448"/>
    <w:rsid w:val="7CB3663D"/>
    <w:rsid w:val="7EBF2F20"/>
    <w:rsid w:val="7F76D311"/>
    <w:rsid w:val="BA777F5D"/>
    <w:rsid w:val="C7DF31F1"/>
    <w:rsid w:val="DFBE18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uiPriority w:val="0"/>
  </w:style>
  <w:style w:type="character" w:styleId="22">
    <w:name w:val="Placeholder Text"/>
    <w:basedOn w:val="9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602</Words>
  <Characters>3434</Characters>
  <Lines>28</Lines>
  <Paragraphs>8</Paragraphs>
  <TotalTime>0</TotalTime>
  <ScaleCrop>false</ScaleCrop>
  <LinksUpToDate>false</LinksUpToDate>
  <CharactersWithSpaces>4028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2024-08-22T14:51:00Z</dcterms:created>
  <dc:creator>juvg</dc:creator>
  <cp:lastModifiedBy>陈冠良</cp:lastModifiedBy>
  <cp:lastPrinted>2023-11-23T00:52:00Z</cp:lastPrinted>
  <dcterms:modified xsi:type="dcterms:W3CDTF">2026-03-10T00:10:32Z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26FAA82041433ACEF8F0AE69970E6B2E_43</vt:lpwstr>
  </property>
</Properties>
</file>