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75782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ascii="Times New Roman" w:hAnsi="Times New Roman" w:eastAsia="黑体"/>
          <w:bCs/>
          <w:sz w:val="32"/>
          <w:szCs w:val="32"/>
        </w:rPr>
      </w:pPr>
      <w:bookmarkStart w:id="0" w:name="_Toc26680"/>
      <w:r>
        <w:rPr>
          <w:rFonts w:hint="eastAsia" w:ascii="Times New Roman" w:hAnsi="Times New Roman" w:eastAsia="黑体"/>
          <w:bCs/>
          <w:sz w:val="32"/>
          <w:szCs w:val="32"/>
        </w:rPr>
        <w:t>《电脑三维表现》本科课程教学大纲</w:t>
      </w:r>
      <w:bookmarkEnd w:id="0"/>
    </w:p>
    <w:p w14:paraId="1674EE92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line="36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一</w:t>
      </w:r>
      <w:r>
        <w:rPr>
          <w:rFonts w:hint="eastAsia" w:ascii="Times New Roman" w:hAnsi="Times New Roman"/>
        </w:rPr>
        <w:t>、课程</w:t>
      </w:r>
      <w:r>
        <w:rPr>
          <w:rFonts w:ascii="Times New Roman" w:hAnsi="Times New Roman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0A0FEFE1"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1EF11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1105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电脑三维表现</w:t>
            </w:r>
          </w:p>
        </w:tc>
      </w:tr>
      <w:tr w14:paraId="078246D2"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0725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5C7B76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ascii="Times New Roman" w:hAnsi="Times New Roman" w:cstheme="maj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theme="maj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Computer 3D performance</w:t>
            </w:r>
          </w:p>
        </w:tc>
      </w:tr>
      <w:tr w14:paraId="0DB45E8A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BE39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55CB2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2040487</w:t>
            </w:r>
          </w:p>
        </w:tc>
        <w:tc>
          <w:tcPr>
            <w:tcW w:w="2126" w:type="dxa"/>
            <w:gridSpan w:val="2"/>
            <w:vAlign w:val="center"/>
          </w:tcPr>
          <w:p w14:paraId="6D10A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38EF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744A91AB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B9B9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szCs w:val="18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 w:ascii="Times New Roman" w:hAnsi="Times New Roman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7BCA7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72" w:type="dxa"/>
            <w:vAlign w:val="center"/>
          </w:tcPr>
          <w:p w14:paraId="21A4C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494F8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0B6C9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5F2A4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200F0379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BC33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3BD3D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4948C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08BEF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视觉传达设计（本科）2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02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5147DAC4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B04F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08BDF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专业课程</w:t>
            </w:r>
          </w:p>
        </w:tc>
        <w:tc>
          <w:tcPr>
            <w:tcW w:w="2126" w:type="dxa"/>
            <w:gridSpan w:val="2"/>
            <w:vAlign w:val="center"/>
          </w:tcPr>
          <w:p w14:paraId="7B59B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C7AE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6ED1E167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CA07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444DD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Cinema 4D从入门到精通：微视频版、靳太然, 孙瑶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978-7-302-62393-9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清华大学出版社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、第一版</w:t>
            </w:r>
          </w:p>
        </w:tc>
        <w:tc>
          <w:tcPr>
            <w:tcW w:w="1413" w:type="dxa"/>
            <w:gridSpan w:val="2"/>
            <w:vAlign w:val="center"/>
          </w:tcPr>
          <w:p w14:paraId="78A87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71FB1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48047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ind w:left="120" w:leftChars="50"/>
              <w:jc w:val="left"/>
              <w:textAlignment w:val="auto"/>
              <w:outlineLvl w:val="9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3AD0200F"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4C120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000AD66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both"/>
              <w:textAlignment w:val="auto"/>
              <w:outlineLvl w:val="9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设计基础2040599（3）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立体构成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2040522（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75CEC01F">
        <w:trPr>
          <w:trHeight w:val="3577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D6AB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61CEF12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t>一、目的</w:t>
            </w:r>
          </w:p>
          <w:p w14:paraId="5B05CB7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t>本课程的开设背景在于，随着科技的发展，三维建模和动画设计在各行各业中的应用越来越广泛。学习Cinema 4D软件，可以帮助学生掌握三维建模、动画设计和渲染等技能，对于学生的职业发展具有重要意义。在专业课程体系中，本课程作为一门实践性强、技能型的课程，对于培养学生的实践能力和创新思维具有重要作用。</w:t>
            </w:r>
          </w:p>
          <w:p w14:paraId="085B88D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t>二、内容</w:t>
            </w:r>
          </w:p>
          <w:p w14:paraId="3A9CAC0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t>本课程的研究对象是Cinema 4D软件及其在三维建模和动画设计中的应用。课程设计的主要理念是通过理论与实践相结合的教学方法，使学生能够熟练掌握Cinema 4D软件的操作，并能运用所学知识进行实际项目的开发。课程内容包括Cinema 4D软件的基础操作、三维建模技巧、动画设计和渲染等。在思政教学方面，我们强调创新思维的培养，鼓励学生在学习过程中发挥自己的想象力和创造力。</w:t>
            </w:r>
          </w:p>
          <w:p w14:paraId="2780EDF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t>三、预期成果</w:t>
            </w:r>
          </w:p>
          <w:p w14:paraId="18364A5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t>通过本课程的学习，学生将能够熟练使用Cinema 4D软件进行三维建模和动画设计，具备从设计到实现的完整项目开发能力。对于学生的职业发展，本课程将帮助学生掌握一项重要的技能，为其在动画设计、游戏开发、影视制作等行业的就业提供有力的支持。同时，通过项目实践，学生的团队协作能力、问题解决能力和创新思维也将得到提升。</w:t>
            </w:r>
          </w:p>
        </w:tc>
      </w:tr>
      <w:tr w14:paraId="5846C84D"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17AD61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Times New Roman" w:hAnsi="Times New Roman" w:eastAsia="黑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71795F3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both"/>
              <w:textAlignment w:val="auto"/>
              <w:outlineLvl w:val="9"/>
            </w:pPr>
            <w:r>
              <w:t>此课程适合艺术设计专业</w:t>
            </w:r>
            <w:r>
              <w:rPr>
                <w:rFonts w:hint="eastAsia"/>
              </w:rPr>
              <w:t>二</w:t>
            </w:r>
            <w:r>
              <w:t>年级</w:t>
            </w:r>
            <w:r>
              <w:rPr>
                <w:rFonts w:hint="eastAsia"/>
              </w:rPr>
              <w:t>本科</w:t>
            </w:r>
            <w:r>
              <w:t>授课，要求学生具备一定的绘画基础、设计知识以及计算机使用经验。</w:t>
            </w:r>
          </w:p>
        </w:tc>
      </w:tr>
      <w:tr w14:paraId="34E1D45E"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2E7F0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5B39F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right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033145" cy="479425"/>
                  <wp:effectExtent l="0" t="0" r="0" b="0"/>
                  <wp:docPr id="390703248" name="图片 390703248" descr="/Users/chenguanliang/Desktop/个人常用信息/我的签名.png我的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703248" name="图片 390703248" descr="/Users/chenguanliang/Desktop/个人常用信息/我的签名.png我的签名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3046" r="30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531" cy="479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5A1750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4B7A7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23.11</w:t>
            </w:r>
          </w:p>
        </w:tc>
      </w:tr>
      <w:tr w14:paraId="5BB5C4A6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69CE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5CD63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right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zCs w:val="21"/>
              </w:rPr>
              <w:drawing>
                <wp:inline distT="0" distB="0" distL="0" distR="0">
                  <wp:extent cx="533400" cy="340360"/>
                  <wp:effectExtent l="0" t="0" r="0" b="15875"/>
                  <wp:docPr id="664187609" name="图片 664187609" descr="形状&#10;&#10;中度可信度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4187609" name="图片 664187609" descr="形状&#10;&#10;中度可信度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904" cy="344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20798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71EE3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2023.12</w:t>
            </w:r>
          </w:p>
        </w:tc>
      </w:tr>
      <w:tr w14:paraId="73BE6301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6745E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00665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right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863600" cy="395605"/>
                  <wp:effectExtent l="0" t="0" r="0" b="10795"/>
                  <wp:docPr id="1183515666" name="图片 1183515666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3515666" name="图片 1183515666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15" cy="42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7141F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A5B8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2024.1</w:t>
            </w:r>
          </w:p>
        </w:tc>
      </w:tr>
    </w:tbl>
    <w:p w14:paraId="69E917C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100" w:lineRule="exact"/>
        <w:textAlignment w:val="auto"/>
        <w:outlineLvl w:val="9"/>
        <w:rPr>
          <w:rFonts w:ascii="Times New Roman" w:hAnsi="Times New Roman" w:eastAsia="黑体"/>
        </w:rPr>
      </w:pPr>
      <w:r>
        <w:rPr>
          <w:rFonts w:ascii="Times New Roman" w:hAnsi="Times New Roman"/>
        </w:rPr>
        <w:br w:type="page"/>
      </w:r>
    </w:p>
    <w:p w14:paraId="2E42BF75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line="36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二、课程目标与毕业要求</w:t>
      </w:r>
    </w:p>
    <w:p w14:paraId="51B7B6E2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spacing w:before="78" w:after="156"/>
        <w:textAlignment w:val="auto"/>
        <w:outlineLvl w:val="9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5F807566"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0FEFCB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color w:val="000000"/>
                <w:szCs w:val="18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D62A2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color w:val="000000"/>
                <w:szCs w:val="18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4BF05F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color w:val="000000"/>
                <w:szCs w:val="18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Cs w:val="18"/>
              </w:rPr>
              <w:t>内容</w:t>
            </w:r>
          </w:p>
        </w:tc>
      </w:tr>
      <w:tr w14:paraId="4D4FB928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5E24B6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17659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color w:val="000000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746477AA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学生将深入理解和掌握Cinema 4D软件的基础知识和操作技巧，包括文件操作、对象操作、视图操作、建模方法、动画制作、灯光布置、材质贴图、渲染技术等，以满足视觉传达设计的需求。</w:t>
            </w:r>
          </w:p>
        </w:tc>
      </w:tr>
      <w:tr w14:paraId="70717266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067F0BE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2F749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color w:val="000000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73D5E9A6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学生将了解和熟悉与电脑三维表现相关的法律法规，以确保在实习实践中能自觉遵守职业规范，具备良好的职业道德操守。</w:t>
            </w:r>
          </w:p>
        </w:tc>
      </w:tr>
      <w:tr w14:paraId="0F097EA1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4B3E9E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C61D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color w:val="000000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11D7634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学生将能够运用Cinema 4D软件，从设计到实现完成一个完整的项目，锤炼和提升自己的技能。</w:t>
            </w:r>
          </w:p>
        </w:tc>
      </w:tr>
      <w:tr w14:paraId="4CD624C3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7A4BB1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color w:val="000000"/>
                <w:szCs w:val="18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4E221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color w:val="000000"/>
                <w:szCs w:val="18"/>
              </w:rPr>
            </w:pPr>
            <w:r>
              <w:rPr>
                <w:rFonts w:hint="eastAsia" w:ascii="Times New Roman" w:hAnsi="Times New Roman" w:eastAsia="黑体" w:cs="Arial"/>
                <w:bCs/>
                <w:color w:val="000000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323C42A9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学生将通过大量的实践操作，熟练掌握Cinema 4D软件，能够运用各种途径和工具进行三维建模和动画设计。</w:t>
            </w:r>
          </w:p>
        </w:tc>
      </w:tr>
      <w:tr w14:paraId="560A9782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4E4D1E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color w:val="000000"/>
                <w:szCs w:val="18"/>
              </w:rPr>
            </w:pPr>
            <w:r>
              <w:rPr>
                <w:rFonts w:hint="eastAsia" w:ascii="Times New Roman" w:hAnsi="Times New Roman" w:eastAsia="黑体" w:cs="Arial"/>
                <w:bCs/>
                <w:color w:val="000000"/>
                <w:szCs w:val="18"/>
              </w:rPr>
              <w:t>素养目标</w:t>
            </w:r>
          </w:p>
          <w:p w14:paraId="7FA100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Cs w:val="18"/>
              </w:rPr>
              <w:t>(含课程思政目标</w:t>
            </w:r>
            <w:r>
              <w:rPr>
                <w:rFonts w:ascii="Times New Roman" w:hAnsi="Times New Roman" w:eastAsia="黑体"/>
                <w:bCs/>
                <w:color w:val="000000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EA089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color w:val="000000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4FB7B794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学生将通过本课程的学习，培养爱岗敬业的精神，热爱所学专业，勤学多练，锤炼技能。同时，学生将在实习实践中自觉遵守职业规范，具备良好的职业道德操守。</w:t>
            </w:r>
          </w:p>
        </w:tc>
      </w:tr>
      <w:tr w14:paraId="7BA00430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6F6341E5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DE3EF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color w:val="000000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3C57493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学生将通过本课程的学习，培养自主学习的能力，能搜集、获取达到目标所需要的学习资源，实施学习计划、反思学习计划、持续改进，达到学习目标。同时，学生将了解行业前沿知识技术，为未来的职业发展打下坚实的基础。</w:t>
            </w:r>
          </w:p>
        </w:tc>
      </w:tr>
    </w:tbl>
    <w:p w14:paraId="44CD9D66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spacing w:before="156" w:beforeLines="50" w:after="156"/>
        <w:textAlignment w:val="auto"/>
        <w:outlineLvl w:val="9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6"/>
      </w:tblGrid>
      <w:tr w14:paraId="15B30E8A">
        <w:tc>
          <w:tcPr>
            <w:tcW w:w="8276" w:type="dxa"/>
          </w:tcPr>
          <w:p w14:paraId="1F1C248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  <w:r>
              <w:rPr>
                <w:rFonts w:ascii="Cambria Math" w:hAnsi="Cambria Math" w:cs="Cambria Math"/>
                <w:bCs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 w14:paraId="398AD57E">
        <w:tc>
          <w:tcPr>
            <w:tcW w:w="8276" w:type="dxa"/>
          </w:tcPr>
          <w:p w14:paraId="11418B6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LO2专业能力：具有人文科学素养，具备从事视觉传达设计工作或专业的理论知识、实践能力。</w:t>
            </w:r>
          </w:p>
          <w:p w14:paraId="1A8D4B3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ascii="Cambria Math" w:hAnsi="Cambria Math" w:cs="Cambria Math"/>
                <w:bCs/>
              </w:rPr>
              <w:t>⑤</w:t>
            </w:r>
            <w:r>
              <w:rPr>
                <w:bCs/>
              </w:rPr>
              <w:t>掌握视觉传达设计相关软件和工具，在设计过程中能够运用各种途径和工具进行设计和制作。</w:t>
            </w:r>
          </w:p>
        </w:tc>
      </w:tr>
      <w:tr w14:paraId="7C4B3FB9">
        <w:tc>
          <w:tcPr>
            <w:tcW w:w="8276" w:type="dxa"/>
          </w:tcPr>
          <w:p w14:paraId="1E2D272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LO4自主学习：能根据环境需要确定自己的学习目标，并主动地通过搜集信息、分析信息、讨论、实践、质疑、创造等方法来实现学习目标。</w:t>
            </w:r>
          </w:p>
          <w:p w14:paraId="4544D27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ascii="Cambria Math" w:hAnsi="Cambria Math" w:cs="Cambria Math"/>
                <w:bCs/>
              </w:rPr>
              <w:t>②</w:t>
            </w:r>
            <w:r>
              <w:rPr>
                <w:bCs/>
              </w:rPr>
              <w:t>能搜集、获取达到目标所需要的学习资源，实施学习计划、反思学习计划、持续改进，达到学习目标。</w:t>
            </w:r>
          </w:p>
        </w:tc>
      </w:tr>
      <w:tr w14:paraId="1E2E781C">
        <w:tc>
          <w:tcPr>
            <w:tcW w:w="8276" w:type="dxa"/>
          </w:tcPr>
          <w:p w14:paraId="6DD89F4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ascii="Cambria Math" w:hAnsi="Cambria Math" w:cs="Cambria Math"/>
                <w:bCs/>
              </w:rPr>
            </w:pPr>
            <w:r>
              <w:rPr>
                <w:rFonts w:ascii="Cambria Math" w:hAnsi="Cambria Math" w:cs="Cambria Math"/>
                <w:bCs/>
              </w:rPr>
              <w:t>LO6协同创新：同群体保持良好的合作关系，做集体中的积极成员，善于自我管理和团队管理；善于从多个维度思考问题，利用自己的知识与实践来提出新设想。</w:t>
            </w:r>
          </w:p>
          <w:p w14:paraId="2A6274F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ascii="Cambria Math" w:hAnsi="Cambria Math" w:cs="Cambria Math"/>
                <w:bCs/>
              </w:rPr>
              <w:t>④</w:t>
            </w:r>
            <w:r>
              <w:rPr>
                <w:bCs/>
              </w:rPr>
              <w:t>了解行业前沿知识技术。</w:t>
            </w:r>
          </w:p>
        </w:tc>
      </w:tr>
    </w:tbl>
    <w:p w14:paraId="77C2831D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spacing w:before="156" w:beforeLines="50" w:after="156"/>
        <w:textAlignment w:val="auto"/>
        <w:outlineLvl w:val="9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15FE204E"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C2CF188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633AF44D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67BB1E96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109160EC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43FFDF3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对指标点的贡献度</w:t>
            </w:r>
          </w:p>
        </w:tc>
      </w:tr>
      <w:tr w14:paraId="780775D6"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12A1FA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LO1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580E642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cs="Times New Roman"/>
                <w:bCs/>
              </w:rPr>
            </w:pPr>
            <w:r>
              <w:rPr>
                <w:rFonts w:ascii="Cambria Math" w:hAnsi="Cambria Math" w:cs="Cambria Math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B23FA8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L</w:t>
            </w:r>
          </w:p>
        </w:tc>
        <w:tc>
          <w:tcPr>
            <w:tcW w:w="4651" w:type="dxa"/>
            <w:vAlign w:val="center"/>
          </w:tcPr>
          <w:p w14:paraId="6E4E5A17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.学生将了解和熟悉与电脑三维表现相关的法律法规，以确保在实习实践中能自觉遵守职业规范，具备良好的职业道德操守。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4EE310C7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50%</w:t>
            </w:r>
          </w:p>
        </w:tc>
      </w:tr>
      <w:tr w14:paraId="39866955"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14080E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b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329D5EE8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A4EA6F9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4651" w:type="dxa"/>
            <w:vAlign w:val="center"/>
          </w:tcPr>
          <w:p w14:paraId="16687D3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5.</w:t>
            </w:r>
            <w:r>
              <w:t xml:space="preserve"> </w:t>
            </w:r>
            <w:r>
              <w:rPr>
                <w:bCs/>
              </w:rPr>
              <w:t>学生将通过本课程的学习，培养爱岗敬业的精神，热爱所学专业，勤学多练，锤炼技能。同时，学生将在实习实践中自觉遵守职业规范，具备良好的职业道德操守。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419984B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5</w:t>
            </w:r>
            <w:r>
              <w:rPr>
                <w:bCs/>
              </w:rPr>
              <w:t>0%</w:t>
            </w:r>
          </w:p>
        </w:tc>
      </w:tr>
      <w:tr w14:paraId="6B3084F8"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483A277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LO2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78FC9F18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cs="Times New Roman"/>
                <w:bCs/>
              </w:rPr>
            </w:pPr>
            <w:r>
              <w:rPr>
                <w:rFonts w:ascii="Cambria Math" w:hAnsi="Cambria Math" w:cs="Cambria Math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E706344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H</w:t>
            </w:r>
          </w:p>
        </w:tc>
        <w:tc>
          <w:tcPr>
            <w:tcW w:w="4651" w:type="dxa"/>
            <w:vAlign w:val="center"/>
          </w:tcPr>
          <w:p w14:paraId="089CF1D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bCs/>
              </w:rPr>
              <w:t>.</w:t>
            </w:r>
            <w:r>
              <w:t xml:space="preserve"> </w:t>
            </w:r>
            <w:r>
              <w:rPr>
                <w:bCs/>
              </w:rPr>
              <w:t>学生将能够运用Cinema 4D软件，从设计到实现完成一个完整的项目，锤炼和提升自己的技能。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07F55E55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70%</w:t>
            </w:r>
          </w:p>
        </w:tc>
      </w:tr>
      <w:tr w14:paraId="41763209"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F6A10BC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6310D2D6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7755414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4651" w:type="dxa"/>
            <w:vAlign w:val="center"/>
          </w:tcPr>
          <w:p w14:paraId="0B27522B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4.</w:t>
            </w:r>
            <w:r>
              <w:t xml:space="preserve"> </w:t>
            </w:r>
            <w:r>
              <w:rPr>
                <w:bCs/>
              </w:rPr>
              <w:t>学生将通过大量的实践操作，熟练掌握Cinema 4D软件，能够运用各种途径和工具进行三维建模和动画设计。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E87F95C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bCs/>
              </w:rPr>
              <w:t>0%</w:t>
            </w:r>
          </w:p>
        </w:tc>
      </w:tr>
      <w:tr w14:paraId="39346788"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E6A6799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LO4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03153ABE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cs="Times New Roman"/>
                <w:bCs/>
              </w:rPr>
            </w:pPr>
            <w:r>
              <w:rPr>
                <w:rFonts w:ascii="Cambria Math" w:hAnsi="Cambria Math" w:cs="Cambria Math"/>
                <w:bCs/>
              </w:rPr>
              <w:t>②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07B3CB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L</w:t>
            </w:r>
          </w:p>
        </w:tc>
        <w:tc>
          <w:tcPr>
            <w:tcW w:w="4651" w:type="dxa"/>
            <w:vAlign w:val="center"/>
          </w:tcPr>
          <w:p w14:paraId="72D48946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>.</w:t>
            </w:r>
            <w:r>
              <w:t xml:space="preserve"> </w:t>
            </w:r>
            <w:r>
              <w:rPr>
                <w:bCs/>
              </w:rPr>
              <w:t>学生将深入理解和掌握Cinema 4D软件的基础知识和操作技巧，包括文件操作、对象操作、视图操作、建模方法、动画制作、灯光布置、材质贴图、渲染技术等，以满足视觉传达设计的需求。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5EA3490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>00%</w:t>
            </w:r>
          </w:p>
        </w:tc>
      </w:tr>
      <w:tr w14:paraId="2E190D29"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A74A0C7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LO6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5748BA0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rFonts w:ascii="Cambria Math" w:hAnsi="Cambria Math" w:cs="Cambria Math"/>
                <w:bCs/>
              </w:rPr>
            </w:pPr>
            <w:r>
              <w:rPr>
                <w:rFonts w:ascii="Cambria Math" w:hAnsi="Cambria Math" w:cs="Cambria Math"/>
                <w:bCs/>
              </w:rPr>
              <w:t>④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C14655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H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p w14:paraId="557FD407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6</w:t>
            </w:r>
            <w:r>
              <w:rPr>
                <w:rFonts w:hint="eastAsia"/>
                <w:bCs/>
              </w:rPr>
              <w:t>．</w:t>
            </w:r>
            <w:r>
              <w:rPr>
                <w:bCs/>
              </w:rPr>
              <w:t>学生将通过本课程的学习，培养自主学习的能力，能搜集、获取达到目标所需要的学习资源，实施学习计划、反思学习计划、持续改进，达到学习目标。同时，学生将了解行业前沿知识技术，为未来的职业发展打下坚实的基础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3F5F732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>00%</w:t>
            </w:r>
          </w:p>
        </w:tc>
      </w:tr>
    </w:tbl>
    <w:p w14:paraId="121AA920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line="36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</w:t>
      </w:r>
      <w:r>
        <w:rPr>
          <w:rFonts w:ascii="Times New Roman" w:hAnsi="Times New Roman"/>
        </w:rPr>
        <w:t>课程内容</w:t>
      </w:r>
      <w:r>
        <w:rPr>
          <w:rFonts w:hint="eastAsia" w:ascii="Times New Roman" w:hAnsi="Times New Roman"/>
        </w:rPr>
        <w:t>与教学设计</w:t>
      </w:r>
    </w:p>
    <w:p w14:paraId="23D6F230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spacing w:before="78" w:after="156"/>
        <w:textAlignment w:val="auto"/>
        <w:outlineLvl w:val="9"/>
      </w:pPr>
      <w:r>
        <w:rPr>
          <w:rFonts w:hint="eastAsia"/>
        </w:rPr>
        <w:t>（一）各教学单元预期学习成果与教学内容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6"/>
      </w:tblGrid>
      <w:tr w14:paraId="45834ED3">
        <w:tc>
          <w:tcPr>
            <w:tcW w:w="8276" w:type="dxa"/>
          </w:tcPr>
          <w:p w14:paraId="0815F2C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第一单元 基础知识与操作</w:t>
            </w:r>
          </w:p>
          <w:p w14:paraId="4D109AB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1.Cinema 4D的基础知识 </w:t>
            </w:r>
          </w:p>
          <w:p w14:paraId="110CE63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教学目标：了解Cinema 4D软件的基本功能和安装过程 </w:t>
            </w:r>
          </w:p>
          <w:p w14:paraId="36E9274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教学重点：Cinema 4D软件的功能介绍 </w:t>
            </w:r>
          </w:p>
          <w:p w14:paraId="29955B7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教学难点：Cinema 4D软件的安装和设置</w:t>
            </w:r>
          </w:p>
          <w:p w14:paraId="61E38BD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 xml:space="preserve">.文件操作、对象操作和视图操作 </w:t>
            </w:r>
          </w:p>
          <w:p w14:paraId="7177E71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4D的文件操作、对象操作和视图操作方法 </w:t>
            </w:r>
          </w:p>
          <w:p w14:paraId="1FE8EAC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教学重点：文件的保存、打开和导出；对象的创建、编辑和删除；视图的切换和调整 教学难点：文件的格式转换和兼容性问题；复杂对象的操作和多视图的管理</w:t>
            </w:r>
          </w:p>
        </w:tc>
      </w:tr>
      <w:tr w14:paraId="32CC3F7D">
        <w:tc>
          <w:tcPr>
            <w:tcW w:w="8276" w:type="dxa"/>
          </w:tcPr>
          <w:p w14:paraId="5973C48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第二单元 建模方法</w:t>
            </w:r>
          </w:p>
          <w:p w14:paraId="49473AA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 xml:space="preserve">.几何体建模方法 </w:t>
            </w:r>
          </w:p>
          <w:p w14:paraId="4CA1B05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4D中基本几何体的创建和编辑方法 </w:t>
            </w:r>
          </w:p>
          <w:p w14:paraId="71F7091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教学重点：立方体、球体、平面、圆柱等几何体的创建和属性设置 </w:t>
            </w:r>
          </w:p>
          <w:p w14:paraId="2D24B17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教学难点：复杂几何体的创建和编辑</w:t>
            </w:r>
          </w:p>
          <w:p w14:paraId="73B9E53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 xml:space="preserve">.样条建模方法、生成器建模方法、变形器建模方法以及点、边、多边形模式下的建模方法 </w:t>
            </w:r>
          </w:p>
          <w:p w14:paraId="3D9C7DC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4D中样条的绘制和编辑方法，生成器和变形器的使用方法，以及点、边、多边形模式下的建模方法 </w:t>
            </w:r>
          </w:p>
          <w:p w14:paraId="3790FCE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教学重点：使用样条工具和画笔工具绘制样条；使用生成器和变形器为模型添加效果；点、边、多边形的选择和编辑 </w:t>
            </w:r>
          </w:p>
          <w:p w14:paraId="5042EEB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教学难点：复杂样条的绘制和编辑；复杂效果的生成和调整；复杂模型的编辑和优化</w:t>
            </w:r>
          </w:p>
        </w:tc>
      </w:tr>
      <w:tr w14:paraId="5BE53950">
        <w:tc>
          <w:tcPr>
            <w:tcW w:w="8276" w:type="dxa"/>
          </w:tcPr>
          <w:p w14:paraId="60AC7EE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第三单元 视觉工具的使用</w:t>
            </w:r>
          </w:p>
          <w:p w14:paraId="548DD56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1.Cinema 4D摄像机工具的使用方法 </w:t>
            </w:r>
          </w:p>
          <w:p w14:paraId="6041076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4D中摄像机工具的使用方法 </w:t>
            </w:r>
          </w:p>
          <w:p w14:paraId="39C576E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教学重点：摄像机的创建和设置 </w:t>
            </w:r>
          </w:p>
          <w:p w14:paraId="676F1AC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教学难点：复杂场景的摄像机设置和动画制作</w:t>
            </w:r>
          </w:p>
          <w:p w14:paraId="2C638AE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 xml:space="preserve">.灯光工具的使用方法 </w:t>
            </w:r>
          </w:p>
          <w:p w14:paraId="01D5943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4D中灯光工具的使用方法 </w:t>
            </w:r>
          </w:p>
          <w:p w14:paraId="79A4E8C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教学重点：灯光的创建和设置 </w:t>
            </w:r>
          </w:p>
          <w:p w14:paraId="468448A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教学难点：复杂场景的灯光布置和效果调整</w:t>
            </w:r>
          </w:p>
        </w:tc>
      </w:tr>
      <w:tr w14:paraId="68608B4A">
        <w:tc>
          <w:tcPr>
            <w:tcW w:w="8276" w:type="dxa"/>
          </w:tcPr>
          <w:p w14:paraId="03D4A6C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第四单元 材质与环境</w:t>
            </w:r>
          </w:p>
          <w:p w14:paraId="100FE02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 xml:space="preserve">.材质与贴图的使用方法 </w:t>
            </w:r>
          </w:p>
          <w:p w14:paraId="4C176EF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4D中材质与贴图的使用方法 </w:t>
            </w:r>
          </w:p>
          <w:p w14:paraId="3A09E7E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教学重点：材质的创建和设置；贴图的应用和调整 </w:t>
            </w:r>
          </w:p>
          <w:p w14:paraId="29127CC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教学难点：复杂材质的创建和贴图的调整</w:t>
            </w:r>
          </w:p>
          <w:p w14:paraId="4548F14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 xml:space="preserve">.标签和环境的使用方法 </w:t>
            </w:r>
          </w:p>
          <w:p w14:paraId="1A5CD94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4D中标签和环境的使用方法 </w:t>
            </w:r>
          </w:p>
          <w:p w14:paraId="77076FB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教学重点：标签的应用和设置；环境的创建和调整 </w:t>
            </w:r>
          </w:p>
          <w:p w14:paraId="7356EA1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教学难点：复杂标签的应用和环境的设置</w:t>
            </w:r>
          </w:p>
        </w:tc>
      </w:tr>
      <w:tr w14:paraId="766BC1F6">
        <w:tc>
          <w:tcPr>
            <w:tcW w:w="8276" w:type="dxa"/>
          </w:tcPr>
          <w:p w14:paraId="5ACC829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第五单元 渲染与动画</w:t>
            </w:r>
          </w:p>
          <w:p w14:paraId="72BB3D4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1.Cnema4D内置渲染器的使用方法 </w:t>
            </w:r>
          </w:p>
          <w:p w14:paraId="142B169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4D中内置渲染器的使用方法 </w:t>
            </w:r>
          </w:p>
          <w:p w14:paraId="540DE56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教学重点：渲染器的选择和设置 </w:t>
            </w:r>
          </w:p>
          <w:p w14:paraId="3425D49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教学难点：复杂场景的渲染设置和效果调整</w:t>
            </w:r>
          </w:p>
          <w:p w14:paraId="2A59859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 xml:space="preserve">.运动图形工具的使用方法以及关键帧动画的制作方法 </w:t>
            </w:r>
          </w:p>
          <w:p w14:paraId="4766B87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4D中运动图形工具的使用方法和关键帧动画的制作方法 </w:t>
            </w:r>
          </w:p>
          <w:p w14:paraId="4ABE7E9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教学重点：运动图形工具的应用和设置；关键帧的创建和编辑 </w:t>
            </w:r>
          </w:p>
          <w:p w14:paraId="090A97B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教学难点：复杂运动特效的设计和制作；复杂动画的制作和优化</w:t>
            </w:r>
          </w:p>
        </w:tc>
      </w:tr>
      <w:tr w14:paraId="394280FA">
        <w:tc>
          <w:tcPr>
            <w:tcW w:w="8276" w:type="dxa"/>
          </w:tcPr>
          <w:p w14:paraId="1EFD033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第六单元 特效与系统应用</w:t>
            </w:r>
          </w:p>
          <w:p w14:paraId="6B7015F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 xml:space="preserve">.粒子运动特效的制作方法 </w:t>
            </w:r>
          </w:p>
          <w:p w14:paraId="460864A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4D中粒子运动特效的制作方法 </w:t>
            </w:r>
          </w:p>
          <w:p w14:paraId="4B0B0BB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教学重点：粒子的创建和设置；力场的应用和调整 </w:t>
            </w:r>
          </w:p>
          <w:p w14:paraId="01CCBD7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教学难点：复杂粒子运动特效的制作和调整</w:t>
            </w:r>
          </w:p>
          <w:p w14:paraId="268DB6E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2.Cinema4D动力学系统的使用方法、体积和域的使用方法以及Cinema4D的角色系统和毛发系统 </w:t>
            </w:r>
          </w:p>
          <w:p w14:paraId="25AF987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4D中动力学系统的使用方法，体积和域的使用方法，以及角色系统和毛发系统的使用方法 </w:t>
            </w:r>
          </w:p>
          <w:p w14:paraId="5C79BD9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教学重点：动力学系统的应用和设置；体积和域的创建和设置；角色系统的应用和设置；毛发系统的创建和调整 </w:t>
            </w:r>
          </w:p>
          <w:p w14:paraId="456B1CF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教学难点：复杂动作的模拟和调整；复杂体积和域的创建和调整；复杂角色的创建和毛发的调整</w:t>
            </w:r>
          </w:p>
        </w:tc>
      </w:tr>
    </w:tbl>
    <w:p w14:paraId="475AC379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spacing w:before="78" w:after="156"/>
        <w:textAlignment w:val="auto"/>
        <w:outlineLvl w:val="9"/>
      </w:pPr>
      <w:r>
        <w:rPr>
          <w:rFonts w:hint="eastAsia"/>
        </w:rPr>
        <w:t>（二）教学单元对课程目标的支撑关系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162"/>
        <w:gridCol w:w="1263"/>
        <w:gridCol w:w="1263"/>
        <w:gridCol w:w="1263"/>
        <w:gridCol w:w="1262"/>
        <w:gridCol w:w="1262"/>
      </w:tblGrid>
      <w:tr w14:paraId="6A65E761">
        <w:trPr>
          <w:trHeight w:val="987" w:hRule="atLeast"/>
          <w:jc w:val="center"/>
        </w:trPr>
        <w:tc>
          <w:tcPr>
            <w:tcW w:w="2113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0009CBD5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ind w:firstLine="489"/>
              <w:jc w:val="right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课程目标</w:t>
            </w:r>
          </w:p>
          <w:p w14:paraId="12DD59D0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ind w:right="210"/>
              <w:jc w:val="left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</w:p>
          <w:p w14:paraId="50CB3337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ind w:right="210"/>
              <w:jc w:val="left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教学单元</w:t>
            </w:r>
          </w:p>
        </w:tc>
        <w:tc>
          <w:tcPr>
            <w:tcW w:w="1235" w:type="dxa"/>
            <w:tcBorders>
              <w:top w:val="single" w:color="auto" w:sz="12" w:space="0"/>
            </w:tcBorders>
            <w:vAlign w:val="center"/>
          </w:tcPr>
          <w:p w14:paraId="1E78A463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1</w:t>
            </w:r>
          </w:p>
        </w:tc>
        <w:tc>
          <w:tcPr>
            <w:tcW w:w="1235" w:type="dxa"/>
            <w:tcBorders>
              <w:top w:val="single" w:color="auto" w:sz="12" w:space="0"/>
            </w:tcBorders>
            <w:vAlign w:val="center"/>
          </w:tcPr>
          <w:p w14:paraId="15471E58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2</w:t>
            </w:r>
          </w:p>
        </w:tc>
        <w:tc>
          <w:tcPr>
            <w:tcW w:w="1235" w:type="dxa"/>
            <w:tcBorders>
              <w:top w:val="single" w:color="auto" w:sz="12" w:space="0"/>
            </w:tcBorders>
            <w:vAlign w:val="center"/>
          </w:tcPr>
          <w:p w14:paraId="6463C82B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3</w:t>
            </w:r>
          </w:p>
        </w:tc>
        <w:tc>
          <w:tcPr>
            <w:tcW w:w="1234" w:type="dxa"/>
            <w:tcBorders>
              <w:top w:val="single" w:color="auto" w:sz="12" w:space="0"/>
            </w:tcBorders>
            <w:vAlign w:val="center"/>
          </w:tcPr>
          <w:p w14:paraId="63030E48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4</w:t>
            </w:r>
          </w:p>
        </w:tc>
        <w:tc>
          <w:tcPr>
            <w:tcW w:w="1234" w:type="dxa"/>
            <w:tcBorders>
              <w:top w:val="single" w:color="auto" w:sz="12" w:space="0"/>
            </w:tcBorders>
            <w:vAlign w:val="center"/>
          </w:tcPr>
          <w:p w14:paraId="0747D93F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5</w:t>
            </w:r>
          </w:p>
        </w:tc>
      </w:tr>
      <w:tr w14:paraId="410F3791">
        <w:trPr>
          <w:trHeight w:val="421" w:hRule="atLeast"/>
          <w:jc w:val="center"/>
        </w:trPr>
        <w:tc>
          <w:tcPr>
            <w:tcW w:w="2113" w:type="dxa"/>
            <w:tcBorders>
              <w:left w:val="single" w:color="auto" w:sz="12" w:space="0"/>
            </w:tcBorders>
          </w:tcPr>
          <w:p w14:paraId="626A557E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第一单元 基础知识与操作</w:t>
            </w:r>
          </w:p>
        </w:tc>
        <w:tc>
          <w:tcPr>
            <w:tcW w:w="1235" w:type="dxa"/>
            <w:vAlign w:val="center"/>
          </w:tcPr>
          <w:p w14:paraId="245EBA2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5" w:type="dxa"/>
            <w:vAlign w:val="center"/>
          </w:tcPr>
          <w:p w14:paraId="611791C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1235" w:type="dxa"/>
            <w:vAlign w:val="center"/>
          </w:tcPr>
          <w:p w14:paraId="603F661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1234" w:type="dxa"/>
            <w:vAlign w:val="center"/>
          </w:tcPr>
          <w:p w14:paraId="7B3B628E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3040CD42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</w:tr>
      <w:tr w14:paraId="3C29D418">
        <w:trPr>
          <w:trHeight w:val="421" w:hRule="atLeast"/>
          <w:jc w:val="center"/>
        </w:trPr>
        <w:tc>
          <w:tcPr>
            <w:tcW w:w="2113" w:type="dxa"/>
            <w:tcBorders>
              <w:left w:val="single" w:color="auto" w:sz="12" w:space="0"/>
            </w:tcBorders>
          </w:tcPr>
          <w:p w14:paraId="7FD3804D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第二单元 建模方法</w:t>
            </w:r>
          </w:p>
        </w:tc>
        <w:tc>
          <w:tcPr>
            <w:tcW w:w="1235" w:type="dxa"/>
            <w:vAlign w:val="center"/>
          </w:tcPr>
          <w:p w14:paraId="6FEE06E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5" w:type="dxa"/>
            <w:vAlign w:val="center"/>
          </w:tcPr>
          <w:p w14:paraId="198AB7CA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1235" w:type="dxa"/>
            <w:vAlign w:val="center"/>
          </w:tcPr>
          <w:p w14:paraId="79B96FF6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5A091751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29D06E72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</w:tr>
      <w:tr w14:paraId="1B995B5A">
        <w:trPr>
          <w:trHeight w:val="421" w:hRule="atLeast"/>
          <w:jc w:val="center"/>
        </w:trPr>
        <w:tc>
          <w:tcPr>
            <w:tcW w:w="2113" w:type="dxa"/>
            <w:tcBorders>
              <w:left w:val="single" w:color="auto" w:sz="12" w:space="0"/>
            </w:tcBorders>
          </w:tcPr>
          <w:p w14:paraId="2BBA7DE7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第三单元 视觉工具的使用</w:t>
            </w:r>
          </w:p>
        </w:tc>
        <w:tc>
          <w:tcPr>
            <w:tcW w:w="1235" w:type="dxa"/>
            <w:vAlign w:val="center"/>
          </w:tcPr>
          <w:p w14:paraId="2C7CD0F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5" w:type="dxa"/>
            <w:vAlign w:val="center"/>
          </w:tcPr>
          <w:p w14:paraId="4B68BF7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1235" w:type="dxa"/>
            <w:vAlign w:val="center"/>
          </w:tcPr>
          <w:p w14:paraId="0C84F845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6435149B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63645839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</w:tr>
      <w:tr w14:paraId="72192A31">
        <w:trPr>
          <w:trHeight w:val="421" w:hRule="atLeast"/>
          <w:jc w:val="center"/>
        </w:trPr>
        <w:tc>
          <w:tcPr>
            <w:tcW w:w="2113" w:type="dxa"/>
            <w:tcBorders>
              <w:left w:val="single" w:color="auto" w:sz="12" w:space="0"/>
            </w:tcBorders>
          </w:tcPr>
          <w:p w14:paraId="65523A99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第四单元 材质与环境</w:t>
            </w:r>
          </w:p>
        </w:tc>
        <w:tc>
          <w:tcPr>
            <w:tcW w:w="1235" w:type="dxa"/>
            <w:vAlign w:val="center"/>
          </w:tcPr>
          <w:p w14:paraId="1E9EF48C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5" w:type="dxa"/>
            <w:vAlign w:val="center"/>
          </w:tcPr>
          <w:p w14:paraId="53186717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1235" w:type="dxa"/>
            <w:vAlign w:val="center"/>
          </w:tcPr>
          <w:p w14:paraId="6A37BB17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7711441C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6C6ECF72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</w:tr>
      <w:tr w14:paraId="590AA8A6">
        <w:trPr>
          <w:trHeight w:val="421" w:hRule="atLeast"/>
          <w:jc w:val="center"/>
        </w:trPr>
        <w:tc>
          <w:tcPr>
            <w:tcW w:w="2113" w:type="dxa"/>
            <w:tcBorders>
              <w:left w:val="single" w:color="auto" w:sz="12" w:space="0"/>
            </w:tcBorders>
          </w:tcPr>
          <w:p w14:paraId="4A749BA7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第五单元 渲染与动画</w:t>
            </w:r>
          </w:p>
        </w:tc>
        <w:tc>
          <w:tcPr>
            <w:tcW w:w="1235" w:type="dxa"/>
            <w:vAlign w:val="center"/>
          </w:tcPr>
          <w:p w14:paraId="7684274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5" w:type="dxa"/>
            <w:vAlign w:val="center"/>
          </w:tcPr>
          <w:p w14:paraId="46E32E2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1235" w:type="dxa"/>
            <w:vAlign w:val="center"/>
          </w:tcPr>
          <w:p w14:paraId="146D53F9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413B42D6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197FDB3E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</w:tr>
      <w:tr w14:paraId="1AE8FF09">
        <w:trPr>
          <w:trHeight w:val="421" w:hRule="atLeast"/>
          <w:jc w:val="center"/>
        </w:trPr>
        <w:tc>
          <w:tcPr>
            <w:tcW w:w="2113" w:type="dxa"/>
            <w:tcBorders>
              <w:left w:val="single" w:color="auto" w:sz="12" w:space="0"/>
              <w:bottom w:val="single" w:color="auto" w:sz="12" w:space="0"/>
            </w:tcBorders>
          </w:tcPr>
          <w:p w14:paraId="08F4BAF4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第六单元 特效与系统应用</w:t>
            </w:r>
          </w:p>
        </w:tc>
        <w:tc>
          <w:tcPr>
            <w:tcW w:w="1235" w:type="dxa"/>
            <w:tcBorders>
              <w:bottom w:val="single" w:color="auto" w:sz="12" w:space="0"/>
            </w:tcBorders>
            <w:vAlign w:val="center"/>
          </w:tcPr>
          <w:p w14:paraId="2FB4E388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5" w:type="dxa"/>
            <w:tcBorders>
              <w:bottom w:val="single" w:color="auto" w:sz="12" w:space="0"/>
            </w:tcBorders>
            <w:vAlign w:val="center"/>
          </w:tcPr>
          <w:p w14:paraId="4989976C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5" w:type="dxa"/>
            <w:tcBorders>
              <w:bottom w:val="single" w:color="auto" w:sz="12" w:space="0"/>
            </w:tcBorders>
            <w:vAlign w:val="center"/>
          </w:tcPr>
          <w:p w14:paraId="3E82DADC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tcBorders>
              <w:bottom w:val="single" w:color="auto" w:sz="12" w:space="0"/>
            </w:tcBorders>
            <w:vAlign w:val="center"/>
          </w:tcPr>
          <w:p w14:paraId="3D12EE7B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tcBorders>
              <w:bottom w:val="single" w:color="auto" w:sz="12" w:space="0"/>
            </w:tcBorders>
            <w:vAlign w:val="center"/>
          </w:tcPr>
          <w:p w14:paraId="1A53C63E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</w:tr>
    </w:tbl>
    <w:p w14:paraId="778CACD2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after="156"/>
        <w:textAlignment w:val="auto"/>
        <w:outlineLvl w:val="9"/>
      </w:pPr>
      <w:r>
        <w:rPr>
          <w:rFonts w:hint="eastAsia"/>
        </w:rPr>
        <w:t>（三）课程教学方法与学时分配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1872"/>
        <w:gridCol w:w="2755"/>
        <w:gridCol w:w="1738"/>
        <w:gridCol w:w="725"/>
        <w:gridCol w:w="669"/>
        <w:gridCol w:w="717"/>
      </w:tblGrid>
      <w:tr w14:paraId="387B7592">
        <w:trPr>
          <w:trHeight w:val="340" w:hRule="atLeast"/>
          <w:jc w:val="center"/>
        </w:trPr>
        <w:tc>
          <w:tcPr>
            <w:tcW w:w="1828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6ACEE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Cs w:val="21"/>
              </w:rPr>
              <w:t>教学单元</w:t>
            </w:r>
          </w:p>
        </w:tc>
        <w:tc>
          <w:tcPr>
            <w:tcW w:w="2690" w:type="dxa"/>
            <w:vMerge w:val="restart"/>
            <w:tcBorders>
              <w:top w:val="single" w:color="auto" w:sz="12" w:space="0"/>
            </w:tcBorders>
            <w:vAlign w:val="center"/>
          </w:tcPr>
          <w:p w14:paraId="1ED16B2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color="auto" w:sz="12" w:space="0"/>
            </w:tcBorders>
            <w:vAlign w:val="center"/>
          </w:tcPr>
          <w:p w14:paraId="63098A5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00E1D0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学时</w:t>
            </w:r>
            <w:r>
              <w:rPr>
                <w:rFonts w:hint="eastAsia" w:ascii="Times New Roman" w:hAnsi="Times New Roman"/>
                <w:bCs w:val="0"/>
                <w:szCs w:val="21"/>
              </w:rPr>
              <w:t>分配</w:t>
            </w:r>
          </w:p>
        </w:tc>
      </w:tr>
      <w:tr w14:paraId="36B2E929">
        <w:trPr>
          <w:trHeight w:val="340" w:hRule="atLeast"/>
          <w:jc w:val="center"/>
        </w:trPr>
        <w:tc>
          <w:tcPr>
            <w:tcW w:w="1828" w:type="dxa"/>
            <w:vMerge w:val="continue"/>
            <w:tcBorders>
              <w:left w:val="single" w:color="auto" w:sz="12" w:space="0"/>
            </w:tcBorders>
          </w:tcPr>
          <w:p w14:paraId="735A4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Cs w:val="21"/>
              </w:rPr>
            </w:pPr>
          </w:p>
        </w:tc>
        <w:tc>
          <w:tcPr>
            <w:tcW w:w="2690" w:type="dxa"/>
            <w:vMerge w:val="continue"/>
          </w:tcPr>
          <w:p w14:paraId="68DA5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Cs w:val="21"/>
              </w:rPr>
            </w:pPr>
          </w:p>
        </w:tc>
        <w:tc>
          <w:tcPr>
            <w:tcW w:w="1697" w:type="dxa"/>
            <w:vMerge w:val="continue"/>
          </w:tcPr>
          <w:p w14:paraId="1B949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F58F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03B31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09CA7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Cs w:val="21"/>
              </w:rPr>
              <w:t>小计</w:t>
            </w:r>
          </w:p>
        </w:tc>
      </w:tr>
      <w:tr w14:paraId="7918E3E8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08A7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第一单元 基础知识与操作</w:t>
            </w:r>
          </w:p>
        </w:tc>
        <w:tc>
          <w:tcPr>
            <w:tcW w:w="2690" w:type="dxa"/>
            <w:vAlign w:val="center"/>
          </w:tcPr>
          <w:p w14:paraId="21699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讲授、实践</w:t>
            </w:r>
          </w:p>
        </w:tc>
        <w:tc>
          <w:tcPr>
            <w:tcW w:w="1697" w:type="dxa"/>
            <w:vAlign w:val="center"/>
          </w:tcPr>
          <w:p w14:paraId="6BF8E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45F6C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653" w:type="dxa"/>
            <w:vAlign w:val="center"/>
          </w:tcPr>
          <w:p w14:paraId="28728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CA1D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</w:tr>
      <w:tr w14:paraId="4EAF7FFE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4AEC4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第二单元 建模方法</w:t>
            </w:r>
          </w:p>
        </w:tc>
        <w:tc>
          <w:tcPr>
            <w:tcW w:w="2690" w:type="dxa"/>
            <w:vAlign w:val="center"/>
          </w:tcPr>
          <w:p w14:paraId="6564E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讲授、实践</w:t>
            </w:r>
          </w:p>
        </w:tc>
        <w:tc>
          <w:tcPr>
            <w:tcW w:w="1697" w:type="dxa"/>
            <w:vAlign w:val="center"/>
          </w:tcPr>
          <w:p w14:paraId="6A4C0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01076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653" w:type="dxa"/>
            <w:vAlign w:val="center"/>
          </w:tcPr>
          <w:p w14:paraId="14176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61993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</w:tr>
      <w:tr w14:paraId="380BA2B4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3DCE0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第三单元 视觉工具的使用</w:t>
            </w:r>
          </w:p>
        </w:tc>
        <w:tc>
          <w:tcPr>
            <w:tcW w:w="2690" w:type="dxa"/>
            <w:vAlign w:val="center"/>
          </w:tcPr>
          <w:p w14:paraId="250AC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讲授、实践</w:t>
            </w:r>
          </w:p>
        </w:tc>
        <w:tc>
          <w:tcPr>
            <w:tcW w:w="1697" w:type="dxa"/>
            <w:vAlign w:val="center"/>
          </w:tcPr>
          <w:p w14:paraId="289B4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686A7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653" w:type="dxa"/>
            <w:vAlign w:val="center"/>
          </w:tcPr>
          <w:p w14:paraId="57A1F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7C3FD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</w:tr>
      <w:tr w14:paraId="028AC7D3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316DA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第四单元 材质与环境</w:t>
            </w:r>
          </w:p>
        </w:tc>
        <w:tc>
          <w:tcPr>
            <w:tcW w:w="2690" w:type="dxa"/>
            <w:vAlign w:val="center"/>
          </w:tcPr>
          <w:p w14:paraId="57F77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讲授、实践</w:t>
            </w:r>
          </w:p>
        </w:tc>
        <w:tc>
          <w:tcPr>
            <w:tcW w:w="1697" w:type="dxa"/>
            <w:vAlign w:val="center"/>
          </w:tcPr>
          <w:p w14:paraId="4CA85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71D2B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653" w:type="dxa"/>
            <w:vAlign w:val="center"/>
          </w:tcPr>
          <w:p w14:paraId="3C8C6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70FF0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</w:tr>
      <w:tr w14:paraId="17A53C0E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21209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第五单元 渲染与动画</w:t>
            </w:r>
          </w:p>
        </w:tc>
        <w:tc>
          <w:tcPr>
            <w:tcW w:w="2690" w:type="dxa"/>
            <w:vAlign w:val="center"/>
          </w:tcPr>
          <w:p w14:paraId="7BA04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实践</w:t>
            </w:r>
          </w:p>
        </w:tc>
        <w:tc>
          <w:tcPr>
            <w:tcW w:w="1697" w:type="dxa"/>
            <w:vAlign w:val="center"/>
          </w:tcPr>
          <w:p w14:paraId="4EF74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7EF2D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44DC2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C453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</w:tr>
      <w:tr w14:paraId="0A38D0BE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38FDA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第六单元 特效与系统应用</w:t>
            </w:r>
          </w:p>
        </w:tc>
        <w:tc>
          <w:tcPr>
            <w:tcW w:w="2690" w:type="dxa"/>
            <w:vAlign w:val="center"/>
          </w:tcPr>
          <w:p w14:paraId="7525C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实践</w:t>
            </w:r>
          </w:p>
        </w:tc>
        <w:tc>
          <w:tcPr>
            <w:tcW w:w="1697" w:type="dxa"/>
            <w:vAlign w:val="center"/>
          </w:tcPr>
          <w:p w14:paraId="46787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162EA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17E5F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2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6B753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4</w:t>
            </w:r>
          </w:p>
        </w:tc>
      </w:tr>
      <w:tr w14:paraId="0F897167">
        <w:trPr>
          <w:trHeight w:val="454" w:hRule="atLeast"/>
          <w:jc w:val="center"/>
        </w:trPr>
        <w:tc>
          <w:tcPr>
            <w:tcW w:w="621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40ACAD8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合计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3B896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1</w:t>
            </w: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  <w:tc>
          <w:tcPr>
            <w:tcW w:w="653" w:type="dxa"/>
            <w:tcBorders>
              <w:bottom w:val="single" w:color="auto" w:sz="12" w:space="0"/>
            </w:tcBorders>
            <w:vAlign w:val="center"/>
          </w:tcPr>
          <w:p w14:paraId="211C5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1</w:t>
            </w: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  <w:tc>
          <w:tcPr>
            <w:tcW w:w="7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6B24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32</w:t>
            </w:r>
          </w:p>
        </w:tc>
      </w:tr>
    </w:tbl>
    <w:p w14:paraId="26D03238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after="156"/>
        <w:textAlignment w:val="auto"/>
        <w:outlineLvl w:val="9"/>
      </w:pPr>
      <w:r>
        <w:rPr>
          <w:rFonts w:hint="eastAsia"/>
        </w:rPr>
        <w:t>（四）课内实验项目与基本要求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20"/>
        <w:gridCol w:w="1882"/>
        <w:gridCol w:w="4061"/>
        <w:gridCol w:w="862"/>
        <w:gridCol w:w="950"/>
      </w:tblGrid>
      <w:tr w14:paraId="543EEF2D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351DB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80B4A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实验项目名称</w:t>
            </w:r>
          </w:p>
        </w:tc>
        <w:tc>
          <w:tcPr>
            <w:tcW w:w="396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5C95B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目标要求与主要内容</w:t>
            </w:r>
          </w:p>
        </w:tc>
        <w:tc>
          <w:tcPr>
            <w:tcW w:w="84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AA018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实验</w:t>
            </w:r>
          </w:p>
          <w:p w14:paraId="264C921C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28E0A65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实验</w:t>
            </w:r>
          </w:p>
          <w:p w14:paraId="7E31B6CE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类型</w:t>
            </w:r>
          </w:p>
        </w:tc>
      </w:tr>
      <w:tr w14:paraId="0A068EC4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A7262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2D5B2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基础建模实践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CDB11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t>目标要求：掌握Cinema 4D的基本操作和建模方法，能够独立完成基础的三维模型设计。</w:t>
            </w:r>
          </w:p>
          <w:p w14:paraId="122CE702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t>主要内容：学生需要使用Cinema 4D软件，根据给定的设计要求，创建一个基础的三维模型。模型可以是一个简单的物体，如家具、工具或者建筑等。学生需要展示他们对于软件的基本操作和建模方法的理解和应用。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6E44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5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0918776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ascii="Cambria Math" w:hAnsi="Cambria Math" w:cs="Cambria Math"/>
              </w:rPr>
              <w:t>①</w:t>
            </w:r>
          </w:p>
        </w:tc>
      </w:tr>
      <w:tr w14:paraId="31849154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FA0F6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EDA34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动画设计实践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5D8C2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both"/>
              <w:textAlignment w:val="auto"/>
              <w:outlineLvl w:val="9"/>
            </w:pPr>
            <w:r>
              <w:t>目标要求：掌握Cinema 4D的动画制作方法，能够独立完成基础的三维动画设计。</w:t>
            </w:r>
          </w:p>
          <w:p w14:paraId="08C9321E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both"/>
              <w:textAlignment w:val="auto"/>
              <w:outlineLvl w:val="9"/>
            </w:pPr>
            <w:r>
              <w:t>主要内容：学生需要使用Cinema 4D软件，根据给定的设计要求，创建一个基础的三维动画。动画可以是一个简单的场景，如日出、下雨或者物体运动等。学生需要展示他们对于软件的动画制作方法的理解和应用。</w:t>
            </w:r>
          </w:p>
        </w:tc>
        <w:tc>
          <w:tcPr>
            <w:tcW w:w="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45FB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5</w:t>
            </w:r>
          </w:p>
        </w:tc>
        <w:tc>
          <w:tcPr>
            <w:tcW w:w="928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C29FABA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③</w:t>
            </w:r>
          </w:p>
        </w:tc>
      </w:tr>
      <w:tr w14:paraId="002B60F3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82299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434AE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特效制作实践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5BCAC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t>目标要求：掌握Cinema 4D的特效制作方法，能够独立完成基础的三维特效设计。</w:t>
            </w:r>
          </w:p>
          <w:p w14:paraId="66E3D492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t>主要内容：学生需要使用Cinema 4D软件，根据给定的设计要求，创建一个基础的三维特效。特效可以是一个简单的场景，如火焰、烟雾或者粒子效果等。学生需要展示他们对于软件的特效制作方法的理解和应用。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EC6D2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6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7FE41B4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④</w:t>
            </w:r>
          </w:p>
        </w:tc>
      </w:tr>
      <w:tr w14:paraId="0CB3D882">
        <w:trPr>
          <w:trHeight w:val="454" w:hRule="atLeast"/>
          <w:jc w:val="center"/>
        </w:trPr>
        <w:tc>
          <w:tcPr>
            <w:tcW w:w="827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2F37E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实验类型：①演示型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②验证型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③设计型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④综合型</w:t>
            </w:r>
          </w:p>
        </w:tc>
      </w:tr>
    </w:tbl>
    <w:p w14:paraId="6A85A9C6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line="360" w:lineRule="auto"/>
        <w:ind w:firstLine="140" w:firstLineChars="5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四、课程思政教学设计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3C3C30CF">
        <w:trPr>
          <w:trHeight w:val="1128" w:hRule="atLeast"/>
        </w:trPr>
        <w:tc>
          <w:tcPr>
            <w:tcW w:w="8276" w:type="dxa"/>
            <w:vAlign w:val="center"/>
          </w:tcPr>
          <w:p w14:paraId="24CEF3C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t>1. 职业道德教育： 在教授技术知识和技能的同时，强调职业道德的重要性。例如，讲解在使用Cinema 4D等软件时，应尊重知识产权，不得非法下载或使用盗版软件。在实际工作中，应遵守行业规范，尊重他人的创新成果，不得抄袭或盗用他人的设计。</w:t>
            </w:r>
          </w:p>
          <w:p w14:paraId="326A49B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t>2. 团队协作教育： 在实验项目中，可以设计一些需要团队合作完成的任务，以培养学生的团队协作能力。在团队合作的过程中，强调公平、公正、诚实、信任等社会主义核心价值观。</w:t>
            </w:r>
          </w:p>
          <w:p w14:paraId="329AF56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t>3. 创新精神教育： 鼓励学生在学习和实践过程中，发挥创新精神，设计出独特的三维模型和动画。在此过程中，强调创新的重要性，并引导学生理解社会主义创新理论。</w:t>
            </w:r>
          </w:p>
          <w:p w14:paraId="7DC651C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  <w:r>
              <w:t>4. 社会责任教育： 在讲解三维表现技术在各行业中的应用时，强调技术对社会的影响，以及技术人员应承担的社会责任。例如，讲解在动画制作中，应避免制作含有暴力、色情等不良内容的动画，以维护社会公德。</w:t>
            </w:r>
          </w:p>
        </w:tc>
      </w:tr>
    </w:tbl>
    <w:p w14:paraId="6C29563B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line="36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五、课程考核</w:t>
      </w:r>
    </w:p>
    <w:tbl>
      <w:tblPr>
        <w:tblStyle w:val="8"/>
        <w:tblW w:w="82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695"/>
        <w:gridCol w:w="2310"/>
        <w:gridCol w:w="600"/>
        <w:gridCol w:w="600"/>
        <w:gridCol w:w="600"/>
        <w:gridCol w:w="600"/>
        <w:gridCol w:w="601"/>
        <w:gridCol w:w="697"/>
        <w:gridCol w:w="692"/>
      </w:tblGrid>
      <w:tr w14:paraId="094F9DCB">
        <w:trPr>
          <w:trHeight w:val="513" w:hRule="atLeast"/>
        </w:trPr>
        <w:tc>
          <w:tcPr>
            <w:tcW w:w="821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08DDF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Cs w:val="21"/>
              </w:rPr>
              <w:t>总评构成</w:t>
            </w:r>
          </w:p>
        </w:tc>
        <w:tc>
          <w:tcPr>
            <w:tcW w:w="695" w:type="dxa"/>
            <w:vMerge w:val="restart"/>
            <w:tcBorders>
              <w:top w:val="single" w:color="auto" w:sz="12" w:space="0"/>
            </w:tcBorders>
            <w:vAlign w:val="center"/>
          </w:tcPr>
          <w:p w14:paraId="467BB361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占比</w:t>
            </w:r>
          </w:p>
        </w:tc>
        <w:tc>
          <w:tcPr>
            <w:tcW w:w="2310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129D6A01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考核方式</w:t>
            </w:r>
          </w:p>
        </w:tc>
        <w:tc>
          <w:tcPr>
            <w:tcW w:w="3698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3BF87311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课程目标</w:t>
            </w:r>
          </w:p>
        </w:tc>
        <w:tc>
          <w:tcPr>
            <w:tcW w:w="692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56330B0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合计</w:t>
            </w:r>
          </w:p>
        </w:tc>
      </w:tr>
      <w:tr w14:paraId="0DF39F82">
        <w:trPr>
          <w:trHeight w:val="513" w:hRule="atLeast"/>
        </w:trPr>
        <w:tc>
          <w:tcPr>
            <w:tcW w:w="821" w:type="dxa"/>
            <w:vMerge w:val="continue"/>
            <w:tcBorders>
              <w:left w:val="single" w:color="auto" w:sz="12" w:space="0"/>
            </w:tcBorders>
          </w:tcPr>
          <w:p w14:paraId="4E651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Cs w:val="21"/>
              </w:rPr>
            </w:pPr>
          </w:p>
        </w:tc>
        <w:tc>
          <w:tcPr>
            <w:tcW w:w="695" w:type="dxa"/>
            <w:vMerge w:val="continue"/>
          </w:tcPr>
          <w:p w14:paraId="182F969E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both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2310" w:type="dxa"/>
            <w:vMerge w:val="continue"/>
            <w:tcBorders>
              <w:right w:val="double" w:color="auto" w:sz="4" w:space="0"/>
            </w:tcBorders>
          </w:tcPr>
          <w:p w14:paraId="74B1E40B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both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600" w:type="dxa"/>
            <w:tcBorders>
              <w:left w:val="double" w:color="auto" w:sz="4" w:space="0"/>
            </w:tcBorders>
            <w:vAlign w:val="center"/>
          </w:tcPr>
          <w:p w14:paraId="6786601F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600" w:type="dxa"/>
            <w:vAlign w:val="center"/>
          </w:tcPr>
          <w:p w14:paraId="29227548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00" w:type="dxa"/>
            <w:vAlign w:val="center"/>
          </w:tcPr>
          <w:p w14:paraId="29FA13D7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600" w:type="dxa"/>
            <w:vAlign w:val="center"/>
          </w:tcPr>
          <w:p w14:paraId="79D7D9EC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601" w:type="dxa"/>
            <w:vAlign w:val="center"/>
          </w:tcPr>
          <w:p w14:paraId="68D02320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5</w:t>
            </w:r>
          </w:p>
        </w:tc>
        <w:tc>
          <w:tcPr>
            <w:tcW w:w="692" w:type="dxa"/>
            <w:vAlign w:val="center"/>
          </w:tcPr>
          <w:p w14:paraId="13E06E26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692" w:type="dxa"/>
            <w:tcBorders>
              <w:right w:val="single" w:color="auto" w:sz="12" w:space="0"/>
            </w:tcBorders>
          </w:tcPr>
          <w:p w14:paraId="23EE7462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14:paraId="72980C8F">
        <w:trPr>
          <w:trHeight w:val="513" w:hRule="atLeast"/>
        </w:trPr>
        <w:tc>
          <w:tcPr>
            <w:tcW w:w="821" w:type="dxa"/>
            <w:tcBorders>
              <w:left w:val="single" w:color="auto" w:sz="12" w:space="0"/>
            </w:tcBorders>
            <w:vAlign w:val="center"/>
          </w:tcPr>
          <w:p w14:paraId="563AF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Cs w:val="21"/>
              </w:rPr>
              <w:t>X1</w:t>
            </w:r>
          </w:p>
        </w:tc>
        <w:tc>
          <w:tcPr>
            <w:tcW w:w="695" w:type="dxa"/>
            <w:vAlign w:val="center"/>
          </w:tcPr>
          <w:p w14:paraId="2E5A37E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3</w:t>
            </w:r>
            <w:r>
              <w:t>5%</w:t>
            </w:r>
          </w:p>
        </w:tc>
        <w:tc>
          <w:tcPr>
            <w:tcW w:w="2310" w:type="dxa"/>
            <w:tcBorders>
              <w:right w:val="double" w:color="auto" w:sz="4" w:space="0"/>
            </w:tcBorders>
            <w:vAlign w:val="center"/>
          </w:tcPr>
          <w:p w14:paraId="5620A11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基础建模实践</w:t>
            </w:r>
          </w:p>
        </w:tc>
        <w:tc>
          <w:tcPr>
            <w:tcW w:w="600" w:type="dxa"/>
            <w:tcBorders>
              <w:left w:val="double" w:color="auto" w:sz="4" w:space="0"/>
            </w:tcBorders>
            <w:vAlign w:val="center"/>
          </w:tcPr>
          <w:p w14:paraId="3CD0E45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30</w:t>
            </w:r>
          </w:p>
        </w:tc>
        <w:tc>
          <w:tcPr>
            <w:tcW w:w="600" w:type="dxa"/>
            <w:vAlign w:val="center"/>
          </w:tcPr>
          <w:p w14:paraId="34D3E60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35</w:t>
            </w:r>
          </w:p>
        </w:tc>
        <w:tc>
          <w:tcPr>
            <w:tcW w:w="600" w:type="dxa"/>
            <w:vAlign w:val="center"/>
          </w:tcPr>
          <w:p w14:paraId="402C2B8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00" w:type="dxa"/>
            <w:vAlign w:val="center"/>
          </w:tcPr>
          <w:p w14:paraId="798FA2F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01" w:type="dxa"/>
            <w:vAlign w:val="center"/>
          </w:tcPr>
          <w:p w14:paraId="166C3A1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692" w:type="dxa"/>
            <w:vAlign w:val="center"/>
          </w:tcPr>
          <w:p w14:paraId="50FD8C8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92" w:type="dxa"/>
            <w:tcBorders>
              <w:right w:val="single" w:color="auto" w:sz="12" w:space="0"/>
            </w:tcBorders>
            <w:vAlign w:val="center"/>
          </w:tcPr>
          <w:p w14:paraId="2A03E5E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100</w:t>
            </w:r>
          </w:p>
        </w:tc>
      </w:tr>
      <w:tr w14:paraId="71D430F0">
        <w:trPr>
          <w:trHeight w:val="513" w:hRule="atLeast"/>
        </w:trPr>
        <w:tc>
          <w:tcPr>
            <w:tcW w:w="821" w:type="dxa"/>
            <w:tcBorders>
              <w:left w:val="single" w:color="auto" w:sz="12" w:space="0"/>
            </w:tcBorders>
            <w:vAlign w:val="center"/>
          </w:tcPr>
          <w:p w14:paraId="4E26BF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Cs w:val="21"/>
              </w:rPr>
              <w:t>X2</w:t>
            </w:r>
          </w:p>
        </w:tc>
        <w:tc>
          <w:tcPr>
            <w:tcW w:w="695" w:type="dxa"/>
            <w:vAlign w:val="center"/>
          </w:tcPr>
          <w:p w14:paraId="3F9C3DB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3</w:t>
            </w:r>
            <w:r>
              <w:t>5%</w:t>
            </w:r>
          </w:p>
        </w:tc>
        <w:tc>
          <w:tcPr>
            <w:tcW w:w="2310" w:type="dxa"/>
            <w:tcBorders>
              <w:right w:val="double" w:color="auto" w:sz="4" w:space="0"/>
            </w:tcBorders>
            <w:vAlign w:val="center"/>
          </w:tcPr>
          <w:p w14:paraId="67F8253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动画设计实践</w:t>
            </w:r>
          </w:p>
        </w:tc>
        <w:tc>
          <w:tcPr>
            <w:tcW w:w="600" w:type="dxa"/>
            <w:tcBorders>
              <w:left w:val="double" w:color="auto" w:sz="4" w:space="0"/>
            </w:tcBorders>
            <w:vAlign w:val="center"/>
          </w:tcPr>
          <w:p w14:paraId="35B88E5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20</w:t>
            </w:r>
          </w:p>
        </w:tc>
        <w:tc>
          <w:tcPr>
            <w:tcW w:w="600" w:type="dxa"/>
            <w:vAlign w:val="center"/>
          </w:tcPr>
          <w:p w14:paraId="043A686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00" w:type="dxa"/>
            <w:vAlign w:val="center"/>
          </w:tcPr>
          <w:p w14:paraId="4FC39FA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00" w:type="dxa"/>
            <w:vAlign w:val="center"/>
          </w:tcPr>
          <w:p w14:paraId="1ED126B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01" w:type="dxa"/>
            <w:vAlign w:val="center"/>
          </w:tcPr>
          <w:p w14:paraId="58C6C17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92" w:type="dxa"/>
            <w:vAlign w:val="center"/>
          </w:tcPr>
          <w:p w14:paraId="5BF82E7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92" w:type="dxa"/>
            <w:tcBorders>
              <w:right w:val="single" w:color="auto" w:sz="12" w:space="0"/>
            </w:tcBorders>
            <w:vAlign w:val="center"/>
          </w:tcPr>
          <w:p w14:paraId="5B1C902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100</w:t>
            </w:r>
          </w:p>
        </w:tc>
      </w:tr>
      <w:tr w14:paraId="75946274">
        <w:trPr>
          <w:trHeight w:val="513" w:hRule="atLeast"/>
        </w:trPr>
        <w:tc>
          <w:tcPr>
            <w:tcW w:w="821" w:type="dxa"/>
            <w:tcBorders>
              <w:left w:val="single" w:color="auto" w:sz="12" w:space="0"/>
            </w:tcBorders>
            <w:vAlign w:val="center"/>
          </w:tcPr>
          <w:p w14:paraId="74666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Cs w:val="21"/>
              </w:rPr>
              <w:t>X3</w:t>
            </w:r>
          </w:p>
        </w:tc>
        <w:tc>
          <w:tcPr>
            <w:tcW w:w="695" w:type="dxa"/>
            <w:vAlign w:val="center"/>
          </w:tcPr>
          <w:p w14:paraId="1884EE7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0</w:t>
            </w:r>
            <w:bookmarkStart w:id="1" w:name="_GoBack"/>
            <w:bookmarkEnd w:id="1"/>
            <w:r>
              <w:t>%</w:t>
            </w:r>
          </w:p>
        </w:tc>
        <w:tc>
          <w:tcPr>
            <w:tcW w:w="2310" w:type="dxa"/>
            <w:tcBorders>
              <w:right w:val="double" w:color="auto" w:sz="4" w:space="0"/>
            </w:tcBorders>
            <w:vAlign w:val="center"/>
          </w:tcPr>
          <w:p w14:paraId="3EBD595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特效制作实践</w:t>
            </w:r>
          </w:p>
        </w:tc>
        <w:tc>
          <w:tcPr>
            <w:tcW w:w="600" w:type="dxa"/>
            <w:tcBorders>
              <w:left w:val="double" w:color="auto" w:sz="4" w:space="0"/>
            </w:tcBorders>
            <w:vAlign w:val="center"/>
          </w:tcPr>
          <w:p w14:paraId="011A5AF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600" w:type="dxa"/>
            <w:vAlign w:val="center"/>
          </w:tcPr>
          <w:p w14:paraId="6B1FA9B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</w:p>
        </w:tc>
        <w:tc>
          <w:tcPr>
            <w:tcW w:w="600" w:type="dxa"/>
            <w:vAlign w:val="center"/>
          </w:tcPr>
          <w:p w14:paraId="38BDB27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00" w:type="dxa"/>
            <w:vAlign w:val="center"/>
          </w:tcPr>
          <w:p w14:paraId="6075137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01" w:type="dxa"/>
            <w:vAlign w:val="center"/>
          </w:tcPr>
          <w:p w14:paraId="0679977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92" w:type="dxa"/>
            <w:vAlign w:val="center"/>
          </w:tcPr>
          <w:p w14:paraId="01B3E5F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92" w:type="dxa"/>
            <w:tcBorders>
              <w:right w:val="single" w:color="auto" w:sz="12" w:space="0"/>
            </w:tcBorders>
            <w:vAlign w:val="center"/>
          </w:tcPr>
          <w:p w14:paraId="6D8A816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textAlignment w:val="auto"/>
              <w:outlineLvl w:val="9"/>
            </w:pPr>
            <w:r>
              <w:t>100</w:t>
            </w:r>
          </w:p>
        </w:tc>
      </w:tr>
    </w:tbl>
    <w:p w14:paraId="34F3B44D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before="312" w:beforeLines="100" w:line="36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2F5A22A0">
        <w:tc>
          <w:tcPr>
            <w:tcW w:w="8296" w:type="dxa"/>
          </w:tcPr>
          <w:p w14:paraId="0458BBF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rFonts w:hint="eastAsia" w:eastAsia="仿宋" w:cs="仿宋"/>
                <w:lang w:eastAsia="zh-CN"/>
              </w:rPr>
            </w:pPr>
            <w:r>
              <w:rPr>
                <w:rFonts w:hint="eastAsia" w:eastAsia="仿宋" w:cs="仿宋"/>
                <w:lang w:eastAsia="zh-CN"/>
              </w:rPr>
              <w:t>无。</w:t>
            </w:r>
          </w:p>
          <w:p w14:paraId="5B301CA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  <w:rPr>
                <w:bCs/>
              </w:rPr>
            </w:pPr>
          </w:p>
          <w:p w14:paraId="5FC8A47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before="78" w:after="156"/>
              <w:jc w:val="left"/>
              <w:textAlignment w:val="auto"/>
              <w:outlineLvl w:val="9"/>
            </w:pPr>
          </w:p>
        </w:tc>
      </w:tr>
    </w:tbl>
    <w:p w14:paraId="2FEF3336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textAlignment w:val="auto"/>
        <w:outlineLvl w:val="9"/>
        <w:rPr>
          <w:rFonts w:ascii="Times New Roman" w:hAnsi="Times New Roman"/>
          <w:sz w:val="18"/>
          <w:szCs w:val="16"/>
        </w:rPr>
      </w:pPr>
    </w:p>
    <w:p w14:paraId="4EC84939"/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altName w:val="汉仪书宋二KW"/>
    <w:panose1 w:val="020B0604020202020204"/>
    <w:charset w:val="86"/>
    <w:family w:val="script"/>
    <w:pitch w:val="default"/>
    <w:sig w:usb0="00000000" w:usb1="00000000" w:usb2="0000001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E3E48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F7EEC10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2F7EEC10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FhMjg1YTU4ZDBkOGI5M2E5NDAzYThiMDcxYTRlOWIifQ=="/>
  </w:docVars>
  <w:rsids>
    <w:rsidRoot w:val="00B7651F"/>
    <w:rsid w:val="00015BE6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1C0F"/>
    <w:rsid w:val="000A4E73"/>
    <w:rsid w:val="000B1BD2"/>
    <w:rsid w:val="000C0F0D"/>
    <w:rsid w:val="000C13BC"/>
    <w:rsid w:val="000D28E5"/>
    <w:rsid w:val="000D34D7"/>
    <w:rsid w:val="000F5056"/>
    <w:rsid w:val="000F712F"/>
    <w:rsid w:val="00100633"/>
    <w:rsid w:val="001072BC"/>
    <w:rsid w:val="00114BD6"/>
    <w:rsid w:val="00130F6D"/>
    <w:rsid w:val="0013327A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D73A7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34177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95EE0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1C19"/>
    <w:rsid w:val="002E33CE"/>
    <w:rsid w:val="002E3721"/>
    <w:rsid w:val="002E5B91"/>
    <w:rsid w:val="002E6F95"/>
    <w:rsid w:val="002E764D"/>
    <w:rsid w:val="002F11A3"/>
    <w:rsid w:val="002F3157"/>
    <w:rsid w:val="002F650D"/>
    <w:rsid w:val="002F6BD5"/>
    <w:rsid w:val="00305F23"/>
    <w:rsid w:val="00313BBA"/>
    <w:rsid w:val="00317E29"/>
    <w:rsid w:val="00321515"/>
    <w:rsid w:val="0032602E"/>
    <w:rsid w:val="00327B8C"/>
    <w:rsid w:val="00331638"/>
    <w:rsid w:val="00331BB7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A7320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0D42"/>
    <w:rsid w:val="004B408D"/>
    <w:rsid w:val="004B6F68"/>
    <w:rsid w:val="004B73F7"/>
    <w:rsid w:val="004D4FB3"/>
    <w:rsid w:val="004D75A6"/>
    <w:rsid w:val="004E2BC5"/>
    <w:rsid w:val="004E3456"/>
    <w:rsid w:val="004F2F88"/>
    <w:rsid w:val="004F3DF0"/>
    <w:rsid w:val="005074E1"/>
    <w:rsid w:val="005126F1"/>
    <w:rsid w:val="00513F2F"/>
    <w:rsid w:val="0051612A"/>
    <w:rsid w:val="00517176"/>
    <w:rsid w:val="0052192E"/>
    <w:rsid w:val="00524300"/>
    <w:rsid w:val="005249B6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8646E"/>
    <w:rsid w:val="0059045B"/>
    <w:rsid w:val="00590DE4"/>
    <w:rsid w:val="00593E33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02239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246D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835"/>
    <w:rsid w:val="007C794A"/>
    <w:rsid w:val="007D5326"/>
    <w:rsid w:val="007D5A33"/>
    <w:rsid w:val="007E4F3A"/>
    <w:rsid w:val="007E620F"/>
    <w:rsid w:val="007E663C"/>
    <w:rsid w:val="007E7795"/>
    <w:rsid w:val="007F4A54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76001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5585"/>
    <w:rsid w:val="008B7448"/>
    <w:rsid w:val="008B7E1E"/>
    <w:rsid w:val="008C1F72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0BFE"/>
    <w:rsid w:val="00962FD8"/>
    <w:rsid w:val="009656CC"/>
    <w:rsid w:val="00970E8C"/>
    <w:rsid w:val="00971671"/>
    <w:rsid w:val="00981A37"/>
    <w:rsid w:val="009830B2"/>
    <w:rsid w:val="00985670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C6709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3FD1"/>
    <w:rsid w:val="009F54D0"/>
    <w:rsid w:val="00A04523"/>
    <w:rsid w:val="00A15952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63F3F"/>
    <w:rsid w:val="00A769B1"/>
    <w:rsid w:val="00A77DA3"/>
    <w:rsid w:val="00A837D5"/>
    <w:rsid w:val="00A83E04"/>
    <w:rsid w:val="00A91091"/>
    <w:rsid w:val="00A93EE3"/>
    <w:rsid w:val="00A94BA9"/>
    <w:rsid w:val="00AA2801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1075"/>
    <w:rsid w:val="00BD7AB0"/>
    <w:rsid w:val="00BE1705"/>
    <w:rsid w:val="00BF3C20"/>
    <w:rsid w:val="00C011BC"/>
    <w:rsid w:val="00C03DBA"/>
    <w:rsid w:val="00C10830"/>
    <w:rsid w:val="00C112E7"/>
    <w:rsid w:val="00C11C78"/>
    <w:rsid w:val="00C11CD4"/>
    <w:rsid w:val="00C15061"/>
    <w:rsid w:val="00C1713D"/>
    <w:rsid w:val="00C20D9D"/>
    <w:rsid w:val="00C2134F"/>
    <w:rsid w:val="00C234F6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E0433"/>
    <w:rsid w:val="00CF096B"/>
    <w:rsid w:val="00CF10F7"/>
    <w:rsid w:val="00CF5EE3"/>
    <w:rsid w:val="00CF691F"/>
    <w:rsid w:val="00D00D99"/>
    <w:rsid w:val="00D013A4"/>
    <w:rsid w:val="00D026DC"/>
    <w:rsid w:val="00D15595"/>
    <w:rsid w:val="00D212F3"/>
    <w:rsid w:val="00D25590"/>
    <w:rsid w:val="00D335C7"/>
    <w:rsid w:val="00D343A8"/>
    <w:rsid w:val="00D37832"/>
    <w:rsid w:val="00D37EC5"/>
    <w:rsid w:val="00D43E10"/>
    <w:rsid w:val="00D44860"/>
    <w:rsid w:val="00D47689"/>
    <w:rsid w:val="00D50C42"/>
    <w:rsid w:val="00D57CF5"/>
    <w:rsid w:val="00D612BC"/>
    <w:rsid w:val="00D62F98"/>
    <w:rsid w:val="00D66FD6"/>
    <w:rsid w:val="00D7440F"/>
    <w:rsid w:val="00D8285B"/>
    <w:rsid w:val="00D862EB"/>
    <w:rsid w:val="00D86619"/>
    <w:rsid w:val="00D93E7C"/>
    <w:rsid w:val="00DB2BE6"/>
    <w:rsid w:val="00DB33B8"/>
    <w:rsid w:val="00DB76B3"/>
    <w:rsid w:val="00DC7006"/>
    <w:rsid w:val="00DD1052"/>
    <w:rsid w:val="00DD3C7B"/>
    <w:rsid w:val="00DE2B21"/>
    <w:rsid w:val="00DE48DE"/>
    <w:rsid w:val="00DF0DCE"/>
    <w:rsid w:val="00DF1CF2"/>
    <w:rsid w:val="00DF25F2"/>
    <w:rsid w:val="00DF4166"/>
    <w:rsid w:val="00E000F4"/>
    <w:rsid w:val="00E01231"/>
    <w:rsid w:val="00E0150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093C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5B20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A61C3"/>
    <w:rsid w:val="00FB3F6B"/>
    <w:rsid w:val="00FB693D"/>
    <w:rsid w:val="00FB7768"/>
    <w:rsid w:val="00FC7489"/>
    <w:rsid w:val="00FD0882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124F7CCF"/>
    <w:rsid w:val="22987C80"/>
    <w:rsid w:val="24192CCC"/>
    <w:rsid w:val="39A66CD4"/>
    <w:rsid w:val="3BFC5BF5"/>
    <w:rsid w:val="3CD52CE1"/>
    <w:rsid w:val="410F2E6A"/>
    <w:rsid w:val="4430136C"/>
    <w:rsid w:val="4AB0382B"/>
    <w:rsid w:val="569868B5"/>
    <w:rsid w:val="56A98603"/>
    <w:rsid w:val="611F6817"/>
    <w:rsid w:val="66CA1754"/>
    <w:rsid w:val="6F1E65D4"/>
    <w:rsid w:val="6F266C86"/>
    <w:rsid w:val="6F5042C2"/>
    <w:rsid w:val="74316312"/>
    <w:rsid w:val="780F13C8"/>
    <w:rsid w:val="79BE01CA"/>
    <w:rsid w:val="7B57A25B"/>
    <w:rsid w:val="7BEF8117"/>
    <w:rsid w:val="7C385448"/>
    <w:rsid w:val="7CB3663D"/>
    <w:rsid w:val="7DFE6AE9"/>
    <w:rsid w:val="7EBF9C73"/>
    <w:rsid w:val="7FF7AE2D"/>
    <w:rsid w:val="BA777F5D"/>
    <w:rsid w:val="BCB77CF8"/>
    <w:rsid w:val="DFBE18CE"/>
    <w:rsid w:val="E7FD89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uiPriority w:val="0"/>
  </w:style>
  <w:style w:type="character" w:styleId="22">
    <w:name w:val="Placeholder Text"/>
    <w:basedOn w:val="9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695</Words>
  <Characters>3966</Characters>
  <Lines>33</Lines>
  <Paragraphs>9</Paragraphs>
  <TotalTime>0</TotalTime>
  <ScaleCrop>false</ScaleCrop>
  <LinksUpToDate>false</LinksUpToDate>
  <CharactersWithSpaces>4652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2024-08-23T23:13:00Z</dcterms:created>
  <dc:creator>juvg</dc:creator>
  <cp:lastModifiedBy>陈冠良</cp:lastModifiedBy>
  <cp:lastPrinted>2023-11-23T16:52:00Z</cp:lastPrinted>
  <dcterms:modified xsi:type="dcterms:W3CDTF">2026-03-09T23:55:20Z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06B83FFAF98E3FE677E8AE698D0DC60E_43</vt:lpwstr>
  </property>
</Properties>
</file>